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74"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expanding from B to D, which is analytically represented by the integral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pdv</w:t>
      </w:r>
      <w:r>
        <w:rPr>
          <w:rFonts w:ascii="Times New Roman" w:eastAsia="Times New Roman" w:hAnsi="Times New Roman" w:cs="Times New Roman"/>
          <w:color w:val="000000"/>
          <w:spacing w:val="0"/>
          <w:w w:val="100"/>
          <w:position w:val="0"/>
          <w:shd w:val="clear" w:color="auto" w:fill="auto"/>
          <w:lang w:val="en-US" w:eastAsia="en-US" w:bidi="en-US"/>
        </w:rPr>
        <w:t xml:space="preserve"> taken along the given path. Any closed path or figure, such as ΛBCD, represents a complete cycle or series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oí </w:t>
      </w:r>
      <w:r>
        <w:rPr>
          <w:rFonts w:ascii="Times New Roman" w:eastAsia="Times New Roman" w:hAnsi="Times New Roman" w:cs="Times New Roman"/>
          <w:color w:val="000000"/>
          <w:spacing w:val="0"/>
          <w:w w:val="100"/>
          <w:position w:val="0"/>
          <w:shd w:val="clear" w:color="auto" w:fill="auto"/>
          <w:lang w:val="en-US" w:eastAsia="en-US" w:bidi="en-US"/>
        </w:rPr>
        <w:t>operations, in the course of which the substance is restored to its original state with respect to temperature, intrinsic energy and other properties. The area DABM under the return path (t</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diminishing) represents work done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w:t>
      </w:r>
      <w:r>
        <w:rPr>
          <w:rFonts w:ascii="Times New Roman" w:eastAsia="Times New Roman" w:hAnsi="Times New Roman" w:cs="Times New Roman"/>
          <w:color w:val="000000"/>
          <w:spacing w:val="0"/>
          <w:w w:val="100"/>
          <w:position w:val="0"/>
          <w:shd w:val="clear" w:color="auto" w:fill="auto"/>
          <w:lang w:val="en-US" w:eastAsia="en-US" w:bidi="en-US"/>
        </w:rPr>
        <w:t xml:space="preserve"> the substance, or against the back-pressure, and is negative. The area of the cycle, viz., that enclosed by the path BCDA, represents the balance of external work done by the substance in one cycle, and is positive if the cycle is described clockwise as indicated by the arrows. The simplest types of pro</w:t>
        <w:softHyphen/>
        <w:t xml:space="preserve">cess or operation are:—(ι), heating or cooling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 constant volume,</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ver</w:t>
        <w:softHyphen/>
        <w:t xml:space="preserve">tical lines such as Bδ,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Isometrics,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pressure varies, but no ex</w:t>
        <w:softHyphen/>
        <w:t xml:space="preserve">ternal work is done. (2) Heating or cooling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 con</w:t>
        <w:softHyphen/>
        <w:t>stant pressure,</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horizontal lines such as NA,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Isopiestics,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external work done is the product of the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the expan</w:t>
        <w:softHyphen/>
        <w:t xml:space="preserve">sion </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(3) Expansion</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compression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at constant temperature,</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curves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Isothermals, </w:t>
      </w:r>
      <w:r>
        <w:rPr>
          <w:rFonts w:ascii="Times New Roman" w:eastAsia="Times New Roman" w:hAnsi="Times New Roman" w:cs="Times New Roman"/>
          <w:color w:val="000000"/>
          <w:spacing w:val="0"/>
          <w:w w:val="100"/>
          <w:position w:val="0"/>
          <w:shd w:val="clear" w:color="auto" w:fill="auto"/>
          <w:lang w:val="en-US" w:eastAsia="en-US" w:bidi="en-US"/>
        </w:rPr>
        <w:t>such as BC, AD, the form of which depends on the nature of the working sub</w:t>
        <w:softHyphen/>
        <w:t xml:space="preserve">stance. The isothermals are approximately equilateral hyperbolas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constant), with the axes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for asymptotes, for a gas or unsaturated vapour, but coincide with the isopiestics for a saturated vapour in presence of its liquid. (4) Expansion or compression under the condition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heat-insulation,</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curves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Adiabatics,</w:t>
      </w:r>
      <w:r>
        <w:rPr>
          <w:rFonts w:ascii="Times New Roman" w:eastAsia="Times New Roman" w:hAnsi="Times New Roman" w:cs="Times New Roman"/>
          <w:color w:val="000000"/>
          <w:spacing w:val="0"/>
          <w:w w:val="100"/>
          <w:position w:val="0"/>
          <w:shd w:val="clear" w:color="auto" w:fill="auto"/>
          <w:lang w:val="en-US" w:eastAsia="en-US" w:bidi="en-US"/>
        </w:rPr>
        <w:t xml:space="preserve"> such as BAZ or CDZ', which are necessarily steeper than the isothermals.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cycle such as ABCD enclosed by parts of two isothermals, BC, AD, and two adiabatics, AB, CD, is the simplest form of cycle for theoretical purposes, since all the heat absorbed,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is taken in during the process represented by one isothermal at the tempera</w:t>
        <w:softHyphen/>
        <w:t xml:space="preserve">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all the heat rejected, ∏", is given out during the process represented by the other at the temperature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the cycle employed by Carnot for the establishment of his fundamental principle of reversibility as the criterion of perfect efficiency in a heat engine. The area ABCD, representing the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per cycle, is the difference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(IF—II")</w:t>
      </w:r>
      <w:r>
        <w:rPr>
          <w:rFonts w:ascii="Times New Roman" w:eastAsia="Times New Roman" w:hAnsi="Times New Roman" w:cs="Times New Roman"/>
          <w:color w:val="000000"/>
          <w:spacing w:val="0"/>
          <w:w w:val="100"/>
          <w:position w:val="0"/>
          <w:shd w:val="clear" w:color="auto" w:fill="auto"/>
          <w:lang w:val="en-US" w:eastAsia="en-US" w:bidi="en-US"/>
        </w:rPr>
        <w:t xml:space="preserve"> of the quantities of heat absorbed and rejected at the temperatures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θ’.</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is lowered, the area of the cycle increases, but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can never exceed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there must be a zero limit of temperature at which the pressure would vanish and the area of the cycle become equal to the whole heat absorbed at the higher temperature. Taking this ideal limit as a theoretical or absolute zero, the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may be represented on the diagram by the whole area included between the two adiabatics BAZ, CDZ' down to the points where they intersect the isothermal of absolute zero, or the zero isopiestic OV asymptotically at infinity.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snbstance in any state such as B were allowed to expand adiabatically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(dll=c&gt;)</w:t>
      </w:r>
      <w:r>
        <w:rPr>
          <w:rFonts w:ascii="Times New Roman" w:eastAsia="Times New Roman" w:hAnsi="Times New Roman" w:cs="Times New Roman"/>
          <w:color w:val="000000"/>
          <w:spacing w:val="0"/>
          <w:w w:val="100"/>
          <w:position w:val="0"/>
          <w:shd w:val="clear" w:color="auto" w:fill="auto"/>
          <w:lang w:val="en-US" w:eastAsia="en-US" w:bidi="en-US"/>
        </w:rPr>
        <w:t xml:space="preserve"> down to the absolute zero, at which point it contains no heat and exerts no pressure, the whole of its avail able heat energy might theoretically be recovered in the form of external work, represented on the diagram by the whole area BAZci under the adiabatic through the state-point B, bounded by the isometric Bft and the zero isopiestic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change of the intrinsic energy in passing from one state to another, as from B to C is represented by the addition of the heat-area Z∕ = BCZZ', and the subtraction of the work-area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 BCc⅞. It follows from the first law that the intrinsic energy of a substance in a given state must always be the same, or that the change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any transformation must depend only on the initial and final states, and not on the path or process. It will be observed that the areas representing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both depend on the form of the path BC, but that the difference of the areas representing the change of intrinsic energy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is independent of BC, which is a boundary common to both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This is mathematically expressed by the statement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is an exact differential of a function of the co-ordinates defining the state of the body, which can be integrated between limits without reference to the relation representing the path along which the variations are taken.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Application of Carnot’s Principle.—</w:t>
      </w:r>
      <w:r>
        <w:rPr>
          <w:rFonts w:ascii="Times New Roman" w:eastAsia="Times New Roman" w:hAnsi="Times New Roman" w:cs="Times New Roman"/>
          <w:color w:val="000000"/>
          <w:spacing w:val="0"/>
          <w:w w:val="100"/>
          <w:position w:val="0"/>
          <w:shd w:val="clear" w:color="auto" w:fill="auto"/>
          <w:lang w:val="en-US" w:eastAsia="en-US" w:bidi="en-US"/>
        </w:rPr>
        <w:t>Carnot adopted as the analytical expression of his principle the statement that the effi</w:t>
        <w:softHyphen/>
        <w:t xml:space="preserve">ciency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or the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ork obtainable per unit of heat by means of a perfect engine taking in heat at a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 and reject</w:t>
        <w:softHyphen/>
        <w:t>ing heat at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must be some function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the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the lower limit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C. being supposed constant. He was unable to </w:t>
      </w:r>
      <w:r>
        <w:rPr>
          <w:rFonts w:ascii="Times New Roman" w:eastAsia="Times New Roman" w:hAnsi="Times New Roman" w:cs="Times New Roman"/>
          <w:color w:val="000000"/>
          <w:spacing w:val="0"/>
          <w:w w:val="100"/>
          <w:position w:val="0"/>
          <w:shd w:val="clear" w:color="auto" w:fill="auto"/>
          <w:lang w:val="en-US" w:eastAsia="en-US" w:bidi="en-US"/>
        </w:rPr>
        <w:t xml:space="preserve">apply the principle directly in this form, as it would require an exact know’ledge of the properties of substances through a wide range of temperature, lie therefore employed the corresponding expression for a cycle of infinitesimal range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at the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in which the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w:t>
      </w:r>
      <w:r>
        <w:rPr>
          <w:rFonts w:ascii="Times New Roman" w:eastAsia="Times New Roman" w:hAnsi="Times New Roman" w:cs="Times New Roman"/>
          <w:color w:val="000000"/>
          <w:spacing w:val="0"/>
          <w:w w:val="100"/>
          <w:position w:val="0"/>
          <w:shd w:val="clear" w:color="auto" w:fill="auto"/>
          <w:lang w:val="en-US" w:eastAsia="en-US" w:bidi="en-US"/>
        </w:rPr>
        <w:t xml:space="preserve"> obtainable from a quantity of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would be represented by the equation</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dW~HF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tf)dt,</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F'(∕) is the derived function of F(∕),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dF(t)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dl,</w:t>
      </w:r>
      <w:r>
        <w:rPr>
          <w:rFonts w:ascii="Times New Roman" w:eastAsia="Times New Roman" w:hAnsi="Times New Roman" w:cs="Times New Roman"/>
          <w:color w:val="000000"/>
          <w:spacing w:val="0"/>
          <w:w w:val="100"/>
          <w:position w:val="0"/>
          <w:shd w:val="clear" w:color="auto" w:fill="auto"/>
          <w:lang w:val="en-US" w:eastAsia="en-US" w:bidi="en-US"/>
        </w:rPr>
        <w:t xml:space="preserve"> and represents the work obtainable per unit of heat per degree fall of temperature at a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principle tn this form is readily appli</w:t>
        <w:softHyphen/>
        <w:t xml:space="preserve">cable to all cases, and is independent of any view with regard to the nature of the heat. It simply asserts that the efficiency function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known as Carnot's function, is the same for all sub</w:t>
        <w:softHyphen/>
        <w:t>stances at the same temperature. Carnot verified this by calculating the values of F'(∕) at various temperatures from the known pro</w:t>
        <w:softHyphen/>
        <w:t>perties of vapours and gases, and showed that the efficiency function diminished with rise of temperature, as measured on the scale of the mercury or gas thermometer, from about l∙40 kilogrammetres per kilo-calorie per degree C. 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to about ι∙ιι at κx&gt;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C.,according to the imperfect data available in his time. Applying the above equation to a gas obeying the law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pv≈RT,</w:t>
      </w:r>
      <w:r>
        <w:rPr>
          <w:rFonts w:ascii="Times New Roman" w:eastAsia="Times New Roman" w:hAnsi="Times New Roman" w:cs="Times New Roman"/>
          <w:color w:val="000000"/>
          <w:spacing w:val="0"/>
          <w:w w:val="100"/>
          <w:position w:val="0"/>
          <w:shd w:val="clear" w:color="auto" w:fill="auto"/>
          <w:lang w:val="en-US" w:eastAsia="en-US" w:bidi="en-US"/>
        </w:rPr>
        <w:t xml:space="preserve"> for which the work done in isothermal expansion from a volume I to a volume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W≈RT</w:t>
      </w:r>
      <w:r>
        <w:rPr>
          <w:rFonts w:ascii="Times New Roman" w:eastAsia="Times New Roman" w:hAnsi="Times New Roman" w:cs="Times New Roman"/>
          <w:color w:val="000000"/>
          <w:spacing w:val="0"/>
          <w:w w:val="100"/>
          <w:position w:val="0"/>
          <w:shd w:val="clear" w:color="auto" w:fill="auto"/>
          <w:lang w:val="en-US" w:eastAsia="en-US" w:bidi="en-US"/>
        </w:rPr>
        <w:t xml:space="preserve"> log,r, whence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ìií'-h log,rdt,</w:t>
      </w:r>
      <w:r>
        <w:rPr>
          <w:rFonts w:ascii="Times New Roman" w:eastAsia="Times New Roman" w:hAnsi="Times New Roman" w:cs="Times New Roman"/>
          <w:color w:val="000000"/>
          <w:spacing w:val="0"/>
          <w:w w:val="100"/>
          <w:position w:val="0"/>
          <w:shd w:val="clear" w:color="auto" w:fill="auto"/>
          <w:lang w:val="en-US" w:eastAsia="en-US" w:bidi="en-US"/>
        </w:rPr>
        <w:t xml:space="preserve"> he deduced the expression for the heat absorbed by a gas in isothermal expansion</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II=R lo</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.r∕F'(t).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also showed that the difference of the specific heats at constant pressure and volume, 5—s, must be the same for equal volumes of all gases at the same temperature and pressure, being repre</w:t>
        <w:softHyphen/>
        <w:t xml:space="preserve">sented by the expression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TF'(t).</w:t>
      </w:r>
      <w:r>
        <w:rPr>
          <w:rFonts w:ascii="Times New Roman" w:eastAsia="Times New Roman" w:hAnsi="Times New Roman" w:cs="Times New Roman"/>
          <w:color w:val="000000"/>
          <w:spacing w:val="0"/>
          <w:w w:val="100"/>
          <w:position w:val="0"/>
          <w:shd w:val="clear" w:color="auto" w:fill="auto"/>
          <w:lang w:val="en-US" w:eastAsia="en-US" w:bidi="en-US"/>
        </w:rPr>
        <w:t xml:space="preserve"> He remarks that "the law according to which the motive power of heat varies at different points of the thermometric scale is intimately connected with that of the variations of the specific heats of gases at different tempera</w:t>
        <w:softHyphen/>
        <w:t xml:space="preserve">tures—a law which experiment has not yet made known to us with sufficient exactness.” If he had ventured to assume the difference of the specific heats constant, it would have followed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must vary inversely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same result follows if the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W—RT</w:t>
      </w:r>
      <w:r>
        <w:rPr>
          <w:rFonts w:ascii="Times New Roman" w:eastAsia="Times New Roman" w:hAnsi="Times New Roman" w:cs="Times New Roman"/>
          <w:color w:val="000000"/>
          <w:spacing w:val="0"/>
          <w:w w:val="100"/>
          <w:position w:val="0"/>
          <w:shd w:val="clear" w:color="auto" w:fill="auto"/>
          <w:lang w:val="en-US" w:eastAsia="en-US" w:bidi="en-US"/>
        </w:rPr>
        <w:t xml:space="preserve"> log,r done by a gas in isothermal expansion is assumed to be equivalent or proportional to the heat absorbed,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II≈R log,r∕F'(ι).</w:t>
      </w:r>
      <w:r>
        <w:rPr>
          <w:rFonts w:ascii="Times New Roman" w:eastAsia="Times New Roman" w:hAnsi="Times New Roman" w:cs="Times New Roman"/>
          <w:color w:val="000000"/>
          <w:spacing w:val="0"/>
          <w:w w:val="100"/>
          <w:position w:val="0"/>
          <w:shd w:val="clear" w:color="auto" w:fill="auto"/>
          <w:lang w:val="en-US" w:eastAsia="en-US" w:bidi="en-US"/>
        </w:rPr>
        <w:t xml:space="preserve"> Mayer (1842) made this assumption in calculating the mechanical equivalent of heat. Joule (1845) was the first to prove it approximately by direct experiment, but did not see his way to reconcile Carnot’s principle, as stated by Clapeyron, with the mechanical theory'. Holtzmann (1845) by the same assumption deduced the value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JJT</w:t>
      </w:r>
      <w:r>
        <w:rPr>
          <w:rFonts w:ascii="Times New Roman" w:eastAsia="Times New Roman" w:hAnsi="Times New Roman" w:cs="Times New Roman"/>
          <w:color w:val="000000"/>
          <w:spacing w:val="0"/>
          <w:w w:val="100"/>
          <w:position w:val="0"/>
          <w:shd w:val="clear" w:color="auto" w:fill="auto"/>
          <w:lang w:val="en-US" w:eastAsia="en-US" w:bidi="en-US"/>
        </w:rPr>
        <w:t xml:space="preserve"> for the function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but obtained erroneous results by combining this assumption with the caloric theory. Clausius (1850), applying the same assumption, deduced the same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and snowed that it was consistent with the mechanical theory and Joule’s experiments, but required that a vapour like steam should deviate more considerably from the gaseous laws than was at that time generally admitted. The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F'(t) </w:t>
      </w:r>
      <w:r>
        <w:rPr>
          <w:rFonts w:ascii="Times New Roman" w:eastAsia="Times New Roman" w:hAnsi="Times New Roman" w:cs="Times New Roman"/>
          <w:color w:val="000000"/>
          <w:spacing w:val="0"/>
          <w:w w:val="100"/>
          <w:position w:val="0"/>
          <w:shd w:val="clear" w:color="auto" w:fill="auto"/>
          <w:lang w:val="en-US" w:eastAsia="en-US" w:bidi="en-US"/>
        </w:rPr>
        <w:t xml:space="preserve">calculated previously by Sir W. Thomson (Lord Kelvin) from Regnault’s tables of the properties of steam, assuming the gaseous laws, did not vary exactly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Joule’s experiments on the equivalence of IF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were not sufficiently precise to decide the question. This most fundamental point was finally settled by a more delicate test, devised by Lord Kelvin, and carried out in conjunction with Joule (1854), which showed that the fundamental assumption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W=11</w:t>
      </w:r>
      <w:r>
        <w:rPr>
          <w:rFonts w:ascii="Times New Roman" w:eastAsia="Times New Roman" w:hAnsi="Times New Roman" w:cs="Times New Roman"/>
          <w:color w:val="000000"/>
          <w:spacing w:val="0"/>
          <w:w w:val="100"/>
          <w:position w:val="0"/>
          <w:shd w:val="clear" w:color="auto" w:fill="auto"/>
          <w:lang w:val="en-US" w:eastAsia="en-US" w:bidi="en-US"/>
        </w:rPr>
        <w:t xml:space="preserve"> in isothermal expansion was very nearly true for permanent gases, and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must therefore vary very nearly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J∕T,</w:t>
      </w:r>
      <w:r>
        <w:rPr>
          <w:rFonts w:ascii="Times New Roman" w:eastAsia="Times New Roman" w:hAnsi="Times New Roman" w:cs="Times New Roman"/>
          <w:color w:val="000000"/>
          <w:spacing w:val="0"/>
          <w:w w:val="100"/>
          <w:position w:val="0"/>
          <w:shd w:val="clear" w:color="auto" w:fill="auto"/>
          <w:lang w:val="en-US" w:eastAsia="en-US" w:bidi="en-US"/>
        </w:rPr>
        <w:t xml:space="preserve"> Kelvin had previously’ proposed to define an absolute scale of temperature independent of the properties of any particular substance in terms of Carnot's function by making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constant. He now proposed to define absolute temperature as proportional to the reciprocal of Carnot’s function, so as to agree as closely as possible with the scale of the gas thermometer. With this defini</w:t>
        <w:softHyphen/>
        <w:t xml:space="preserve">tion of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if the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is measured in work units, the expression of Carnot’s principle for an infinitesimal cycle of range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reduces to the simple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dθ=H</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Combining this with the first law, for a Carnot cycle of finite range,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IΓ</w:t>
      </w:r>
      <w:r>
        <w:rPr>
          <w:rFonts w:ascii="Times New Roman" w:eastAsia="Times New Roman" w:hAnsi="Times New Roman" w:cs="Times New Roman"/>
          <w:color w:val="000000"/>
          <w:spacing w:val="0"/>
          <w:w w:val="100"/>
          <w:position w:val="0"/>
          <w:shd w:val="clear" w:color="auto" w:fill="auto"/>
          <w:lang w:val="en-US" w:eastAsia="en-US" w:bidi="en-US"/>
        </w:rPr>
        <w:t xml:space="preserve"> is the heat taken in at 0',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 xml:space="preserve"> is the heat rejected 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the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done in the cycle is equal to the difference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FF-H*,</w:t>
      </w:r>
      <w:r>
        <w:rPr>
          <w:rFonts w:ascii="Times New Roman" w:eastAsia="Times New Roman" w:hAnsi="Times New Roman" w:cs="Times New Roman"/>
          <w:color w:val="000000"/>
          <w:spacing w:val="0"/>
          <w:w w:val="100"/>
          <w:position w:val="0"/>
          <w:shd w:val="clear" w:color="auto" w:fill="auto"/>
          <w:lang w:val="en-US" w:eastAsia="en-US" w:bidi="en-US"/>
        </w:rPr>
        <w:t xml:space="preserve"> and we have the simple relations,</w:t>
      </w:r>
    </w:p>
    <w:p>
      <w:pPr>
        <w:pStyle w:val="Style8"/>
        <w:keepNext w:val="0"/>
        <w:keepLines w:val="0"/>
        <w:widowControl w:val="0"/>
        <w:shd w:val="clear" w:color="auto" w:fill="auto"/>
        <w:tabs>
          <w:tab w:pos="2189" w:val="left"/>
          <w:tab w:pos="2530" w:val="left"/>
          <w:tab w:pos="2870" w:val="left"/>
          <w:tab w:pos="3144"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(Θ'-Θ*)≈H"</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Θ'=H'Θ*</w:t>
        <w:tab/>
        <w:t>.</w:t>
        <w:tab/>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t>(2)</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Thermodynamical Relations.—</w:t>
      </w:r>
      <w:r>
        <w:rPr>
          <w:rFonts w:ascii="Times New Roman" w:eastAsia="Times New Roman" w:hAnsi="Times New Roman" w:cs="Times New Roman"/>
          <w:color w:val="000000"/>
          <w:spacing w:val="0"/>
          <w:w w:val="100"/>
          <w:position w:val="0"/>
          <w:shd w:val="clear" w:color="auto" w:fill="auto"/>
          <w:lang w:val="en-US" w:eastAsia="en-US" w:bidi="en-US"/>
        </w:rPr>
        <w:t>The most important and most useful of the relations between the thermodynamical properties of a substance may be very simply deduced from a consideration of the indicator diagram by a geometrical method, which is in many respects more instructive than the analytical method gene</w:t>
        <w:softHyphen/>
        <w:t xml:space="preserve">rally employed. Referring to fig. 2, let BC be a small portion of any isothermal corresponding to the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AD a neighbouring isothermal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Let BE be an isometric through B meeting AD in E, and EC an isopiestic through E meeting BC in C. Let BA, CD be adiabatics through B and C meeting the isothermal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in A and D. Then by relations (2) the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 xml:space="preserve">absorbed in the isothermal change BC, is to the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done in the cycle ABCD in the ratio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to (0'-</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If the difference</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8">
    <w:name w:val="Body text"/>
    <w:basedOn w:val="Normal"/>
    <w:link w:val="CharStyle9"/>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