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current,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for any given pair of metals, was found to vary directly as the difference of temperature, </w:t>
      </w:r>
      <w:r>
        <w:rPr>
          <w:rFonts w:ascii="Times New Roman" w:eastAsia="Times New Roman" w:hAnsi="Times New Roman" w:cs="Times New Roman"/>
          <w:i/>
          <w:iCs/>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hot and cold junctions, and inversely as the resistance,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of the circuit. We conclude by applying Ohm’s law that the electro</w:t>
        <w:softHyphen/>
        <w:t xml:space="preserve">motive force,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of the thermocouple may be approximately represented for small differences of temperature by the formula</w:t>
      </w:r>
    </w:p>
    <w:p>
      <w:pPr>
        <w:pStyle w:val="Style3"/>
        <w:keepNext w:val="0"/>
        <w:keepLines w:val="0"/>
        <w:widowControl w:val="0"/>
        <w:shd w:val="clear" w:color="auto" w:fill="auto"/>
        <w:tabs>
          <w:tab w:leader="dot" w:pos="3128" w:val="right"/>
        </w:tabs>
        <w:bidi w:val="0"/>
        <w:spacing w:line="21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E≈CR=p{t-t")</w:t>
        <w:tab/>
      </w:r>
      <w:r>
        <w:rPr>
          <w:rFonts w:ascii="Times New Roman" w:eastAsia="Times New Roman" w:hAnsi="Times New Roman" w:cs="Times New Roman"/>
          <w:color w:val="000000"/>
          <w:spacing w:val="0"/>
          <w:w w:val="100"/>
          <w:position w:val="0"/>
          <w:shd w:val="clear" w:color="auto" w:fill="auto"/>
          <w:lang w:val="en-US" w:eastAsia="en-US" w:bidi="en-US"/>
        </w:rPr>
        <w:t>(ι)</w:t>
      </w:r>
    </w:p>
    <w:p>
      <w:pPr>
        <w:pStyle w:val="Style3"/>
        <w:keepNext w:val="0"/>
        <w:keepLines w:val="0"/>
        <w:widowControl w:val="0"/>
        <w:shd w:val="clear" w:color="auto" w:fill="auto"/>
        <w:tabs>
          <w:tab w:pos="451"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Thermoelectric Power, Series, Inversion.—</w:t>
      </w:r>
      <w:r>
        <w:rPr>
          <w:rFonts w:ascii="Times New Roman" w:eastAsia="Times New Roman" w:hAnsi="Times New Roman" w:cs="Times New Roman"/>
          <w:color w:val="000000"/>
          <w:spacing w:val="0"/>
          <w:w w:val="100"/>
          <w:position w:val="0"/>
          <w:shd w:val="clear" w:color="auto" w:fill="auto"/>
          <w:lang w:val="en-US" w:eastAsia="en-US" w:bidi="en-US"/>
        </w:rPr>
        <w:t xml:space="preserve">The limiting value,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of the coefficient,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for an infinitesimal difference,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junctions is called the </w:t>
      </w:r>
      <w:r>
        <w:rPr>
          <w:rFonts w:ascii="Times New Roman" w:eastAsia="Times New Roman" w:hAnsi="Times New Roman" w:cs="Times New Roman"/>
          <w:i/>
          <w:iCs/>
          <w:color w:val="000000"/>
          <w:spacing w:val="0"/>
          <w:w w:val="100"/>
          <w:position w:val="0"/>
          <w:shd w:val="clear" w:color="auto" w:fill="auto"/>
          <w:lang w:val="en-US" w:eastAsia="en-US" w:bidi="en-US"/>
        </w:rPr>
        <w:t>Thermoelectric Power</w:t>
      </w:r>
      <w:r>
        <w:rPr>
          <w:rFonts w:ascii="Times New Roman" w:eastAsia="Times New Roman" w:hAnsi="Times New Roman" w:cs="Times New Roman"/>
          <w:color w:val="000000"/>
          <w:spacing w:val="0"/>
          <w:w w:val="100"/>
          <w:position w:val="0"/>
          <w:shd w:val="clear" w:color="auto" w:fill="auto"/>
          <w:lang w:val="en-US" w:eastAsia="en-US" w:bidi="en-US"/>
        </w:rPr>
        <w:t xml:space="preserve"> of the couple. One metal (A) is said to be thermoelectrically positive to another (B), if positive electricity flows from A to B across the cold junction when the circuit is completed. The opposite convention is sometimes adopted, but the above is the most convenient in practice, as the circuit is generally broken at or near the cold junction for the insertion of the galvanometer. Seebeck found that the metals could be arranged in a </w:t>
      </w:r>
      <w:r>
        <w:rPr>
          <w:rFonts w:ascii="Times New Roman" w:eastAsia="Times New Roman" w:hAnsi="Times New Roman" w:cs="Times New Roman"/>
          <w:i/>
          <w:iCs/>
          <w:color w:val="000000"/>
          <w:spacing w:val="0"/>
          <w:w w:val="100"/>
          <w:position w:val="0"/>
          <w:shd w:val="clear" w:color="auto" w:fill="auto"/>
          <w:lang w:val="en-US" w:eastAsia="en-US" w:bidi="en-US"/>
        </w:rPr>
        <w:t>Thermoelectric Series,</w:t>
      </w:r>
      <w:r>
        <w:rPr>
          <w:rFonts w:ascii="Times New Roman" w:eastAsia="Times New Roman" w:hAnsi="Times New Roman" w:cs="Times New Roman"/>
          <w:color w:val="000000"/>
          <w:spacing w:val="0"/>
          <w:w w:val="100"/>
          <w:position w:val="0"/>
          <w:shd w:val="clear" w:color="auto" w:fill="auto"/>
          <w:lang w:val="en-US" w:eastAsia="en-US" w:bidi="en-US"/>
        </w:rPr>
        <w:t xml:space="preserve"> in the order of their power when com</w:t>
        <w:softHyphen/>
        <w:t>bined with any one metal, such that the power of any thermo</w:t>
        <w:softHyphen/>
        <w:t xml:space="preserve">couple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composed of the metals A and B, was equal to the algebraic difference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of their powers when combined with the standard metal C. The order of the metals in this series was found to be different from that in the corresponding Volta series, and to be considerably affected by variations in purity, hardness and other physical conditions. J. Cumming shortly afterwards discovered the phenomenon of </w:t>
      </w:r>
      <w:r>
        <w:rPr>
          <w:rFonts w:ascii="Times New Roman" w:eastAsia="Times New Roman" w:hAnsi="Times New Roman" w:cs="Times New Roman"/>
          <w:i/>
          <w:iCs/>
          <w:color w:val="000000"/>
          <w:spacing w:val="0"/>
          <w:w w:val="100"/>
          <w:position w:val="0"/>
          <w:shd w:val="clear" w:color="auto" w:fill="auto"/>
          <w:lang w:val="en-US" w:eastAsia="en-US" w:bidi="en-US"/>
        </w:rPr>
        <w:t>Thermo</w:t>
        <w:softHyphen/>
        <w:t>electric Inversion,</w:t>
      </w:r>
      <w:r>
        <w:rPr>
          <w:rFonts w:ascii="Times New Roman" w:eastAsia="Times New Roman" w:hAnsi="Times New Roman" w:cs="Times New Roman"/>
          <w:color w:val="000000"/>
          <w:spacing w:val="0"/>
          <w:w w:val="100"/>
          <w:position w:val="0"/>
          <w:shd w:val="clear" w:color="auto" w:fill="auto"/>
          <w:lang w:val="en-US" w:eastAsia="en-US" w:bidi="en-US"/>
        </w:rPr>
        <w:t xml:space="preserve"> or the change of the order of the metals in the thermoelectric series at different temperatures. Copper, for instance, is negative to iron at ordinary temperatures, but is positive to it at 3oo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or above. The E.M.F. of a copper</w:t>
        <w:softHyphen/>
        <w:t>iron thermocouple reaches a maximum when the temp&gt;erature of the hot junction is raised to 270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at which temperature the thermoelectric power vanishes and the metals are said to be </w:t>
      </w:r>
      <w:r>
        <w:rPr>
          <w:rFonts w:ascii="Times New Roman" w:eastAsia="Times New Roman" w:hAnsi="Times New Roman" w:cs="Times New Roman"/>
          <w:i/>
          <w:iCs/>
          <w:color w:val="000000"/>
          <w:spacing w:val="0"/>
          <w:w w:val="100"/>
          <w:position w:val="0"/>
          <w:shd w:val="clear" w:color="auto" w:fill="auto"/>
          <w:lang w:val="en-US" w:eastAsia="en-US" w:bidi="en-US"/>
        </w:rPr>
        <w:t>neutral</w:t>
      </w:r>
      <w:r>
        <w:rPr>
          <w:rFonts w:ascii="Times New Roman" w:eastAsia="Times New Roman" w:hAnsi="Times New Roman" w:cs="Times New Roman"/>
          <w:color w:val="000000"/>
          <w:spacing w:val="0"/>
          <w:w w:val="100"/>
          <w:position w:val="0"/>
          <w:shd w:val="clear" w:color="auto" w:fill="auto"/>
          <w:lang w:val="en-US" w:eastAsia="en-US" w:bidi="en-US"/>
        </w:rPr>
        <w:t xml:space="preserve"> to one another. Beyond this point the E.M.F. diminishes, vanishing and changing sign when the temperature of the hot junction is nearly as much above the neutral point as the temperature of the cold junction is below it. Similar phenomena occur in the case of many other couples, and it is found that the thermoelectric power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not in general a con</w:t>
        <w:softHyphen/>
        <w:t>stant, and that the simple linear formula (r) is applicable only for small differences of temperature. More accurately it may be stated that the thermoelectromotive force in any given circuit containing a series of different metals is a function of the temperatures of the junctions only, and is independent of the distribution of the temperature at any intermediate points, pro</w:t>
        <w:softHyphen/>
        <w:t>vided that each of the metals in the series is of uniform quality. This statement admits of the simple mathematical expression</w:t>
      </w:r>
    </w:p>
    <w:p>
      <w:pPr>
        <w:pStyle w:val="Style3"/>
        <w:keepNext w:val="0"/>
        <w:keepLines w:val="0"/>
        <w:widowControl w:val="0"/>
        <w:shd w:val="clear" w:color="auto" w:fill="auto"/>
        <w:tabs>
          <w:tab w:pos="2421" w:val="left"/>
          <w:tab w:pos="2781" w:val="left"/>
          <w:tab w:pos="3065" w:val="left"/>
        </w:tabs>
        <w:bidi w:val="0"/>
        <w:spacing w:line="21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 ≈Vp'dt +^'p"dt+&amp;.c. .</w:t>
        <w:tab/>
        <w:t>.</w:t>
        <w:tab/>
      </w:r>
      <w:r>
        <w:rPr>
          <w:rFonts w:ascii="Times New Roman" w:eastAsia="Times New Roman" w:hAnsi="Times New Roman" w:cs="Times New Roman"/>
          <w:color w:val="000000"/>
          <w:spacing w:val="0"/>
          <w:w w:val="100"/>
          <w:position w:val="0"/>
          <w:shd w:val="clear" w:color="auto" w:fill="auto"/>
          <w:lang w:val="en-US" w:eastAsia="en-US" w:bidi="en-US"/>
        </w:rPr>
        <w:t>.</w:t>
        <w:tab/>
        <w:t>(2)</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p', p,</w:t>
      </w:r>
      <w:r>
        <w:rPr>
          <w:rFonts w:ascii="Times New Roman" w:eastAsia="Times New Roman" w:hAnsi="Times New Roman" w:cs="Times New Roman"/>
          <w:color w:val="000000"/>
          <w:spacing w:val="0"/>
          <w:w w:val="100"/>
          <w:position w:val="0"/>
          <w:shd w:val="clear" w:color="auto" w:fill="auto"/>
          <w:lang w:val="en-US" w:eastAsia="en-US" w:bidi="en-US"/>
        </w:rPr>
        <w:t xml:space="preserve"> &amp;c., are the thermoelectric powers of the metals,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 t', t",</w:t>
      </w:r>
      <w:r>
        <w:rPr>
          <w:rFonts w:ascii="Times New Roman" w:eastAsia="Times New Roman" w:hAnsi="Times New Roman" w:cs="Times New Roman"/>
          <w:color w:val="000000"/>
          <w:spacing w:val="0"/>
          <w:w w:val="100"/>
          <w:position w:val="0"/>
          <w:shd w:val="clear" w:color="auto" w:fill="auto"/>
          <w:lang w:val="en-US" w:eastAsia="en-US" w:bidi="en-US"/>
        </w:rPr>
        <w:t xml:space="preserve"> &amp;c., the temperatures of the junctions. There are some special cases of sufficient practical importance to be separately stated.</w:t>
      </w:r>
    </w:p>
    <w:p>
      <w:pPr>
        <w:pStyle w:val="Style3"/>
        <w:keepNext w:val="0"/>
        <w:keepLines w:val="0"/>
        <w:widowControl w:val="0"/>
        <w:shd w:val="clear" w:color="auto" w:fill="auto"/>
        <w:tabs>
          <w:tab w:pos="424"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Homogeneous Circuit. Strain Hysteresis.—</w:t>
      </w:r>
      <w:r>
        <w:rPr>
          <w:rFonts w:ascii="Times New Roman" w:eastAsia="Times New Roman" w:hAnsi="Times New Roman" w:cs="Times New Roman"/>
          <w:color w:val="000000"/>
          <w:spacing w:val="0"/>
          <w:w w:val="100"/>
          <w:position w:val="0"/>
          <w:shd w:val="clear" w:color="auto" w:fill="auto"/>
          <w:lang w:val="en-US" w:eastAsia="en-US" w:bidi="en-US"/>
        </w:rPr>
        <w:t>In a circuit consisting of a single metal, no current can be produced by varia</w:t>
        <w:softHyphen/>
        <w:t xml:space="preserve">tions of temperature, provided that the metal is not thereby strained or altered. This was particularly demonstrated by the experiments of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G. Magnus. The effects produced by abrupt changes of temperature or section, or by pressing together pieces of the same metal at different temperatures, are probably to be explained as effects of strain. A number of interesting effects of this nature have been investigated by Thomson, </w:t>
      </w:r>
      <w:r>
        <w:rPr>
          <w:rFonts w:ascii="Times New Roman" w:eastAsia="Times New Roman" w:hAnsi="Times New Roman" w:cs="Times New Roman"/>
          <w:color w:val="000000"/>
          <w:spacing w:val="0"/>
          <w:w w:val="100"/>
          <w:position w:val="0"/>
          <w:shd w:val="clear" w:color="auto" w:fill="auto"/>
          <w:lang w:val="fr-FR" w:eastAsia="fr-FR" w:bidi="fr-FR"/>
        </w:rPr>
        <w:t xml:space="preserve">F. P. Le Roux, P. </w:t>
      </w:r>
      <w:r>
        <w:rPr>
          <w:rFonts w:ascii="Times New Roman" w:eastAsia="Times New Roman" w:hAnsi="Times New Roman" w:cs="Times New Roman"/>
          <w:color w:val="000000"/>
          <w:spacing w:val="0"/>
          <w:w w:val="100"/>
          <w:position w:val="0"/>
          <w:shd w:val="clear" w:color="auto" w:fill="auto"/>
          <w:lang w:val="en-US" w:eastAsia="en-US" w:bidi="en-US"/>
        </w:rPr>
        <w:t xml:space="preserve">G. Tait and others, but the theory has not as yet been fully developed. An interesting example is furnished by an experiment due to F. T. Trouton </w:t>
      </w:r>
      <w:r>
        <w:rPr>
          <w:rFonts w:ascii="Times New Roman" w:eastAsia="Times New Roman" w:hAnsi="Times New Roman" w:cs="Times New Roman"/>
          <w:i/>
          <w:iCs/>
          <w:color w:val="000000"/>
          <w:spacing w:val="0"/>
          <w:w w:val="100"/>
          <w:position w:val="0"/>
          <w:shd w:val="clear" w:color="auto" w:fill="auto"/>
          <w:lang w:val="en-US" w:eastAsia="en-US" w:bidi="en-US"/>
        </w:rPr>
        <w:t>{Proc. R. S. Dub.,</w:t>
      </w:r>
      <w:r>
        <w:rPr>
          <w:rFonts w:ascii="Times New Roman" w:eastAsia="Times New Roman" w:hAnsi="Times New Roman" w:cs="Times New Roman"/>
          <w:color w:val="000000"/>
          <w:spacing w:val="0"/>
          <w:w w:val="100"/>
          <w:position w:val="0"/>
          <w:shd w:val="clear" w:color="auto" w:fill="auto"/>
          <w:lang w:val="en-US" w:eastAsia="en-US" w:bidi="en-US"/>
        </w:rPr>
        <w:t xml:space="preserve"> 1886). A piece of iron or steel wire in the circuit of a galvanometer is heated in a flame to bright redness at any point. No effect is noticed so long as the flame is stationary, but if the flame be moved slowly in one direction a current is observed, which changes its direction with the direction of motion of the flame. The explanation of this phenomenon is that the metal is trans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formed at a red heat into another modification, as is proved by simultaneous changes in its magnetic and electrical properties. The change from one state to the other takes place at a higher temperature on heating than on cooling. The junctions of the magnetic and the non-magnctic steel arc therefore at different temperatures if the flame is moved, and a current is produced just as if a piece of different metal with junctions at different temperatures had been introduced into the circuit. Other effects of “ hysteresis ” occur in alloys of iron, which have been studied by W. F. Barrett </w:t>
      </w:r>
      <w:r>
        <w:rPr>
          <w:rFonts w:ascii="Times New Roman" w:eastAsia="Times New Roman" w:hAnsi="Times New Roman" w:cs="Times New Roman"/>
          <w:i/>
          <w:iCs/>
          <w:color w:val="000000"/>
          <w:spacing w:val="0"/>
          <w:w w:val="100"/>
          <w:position w:val="0"/>
          <w:shd w:val="clear" w:color="auto" w:fill="auto"/>
          <w:lang w:val="en-US" w:eastAsia="en-US" w:bidi="en-US"/>
        </w:rPr>
        <w:t>{Trans. R. S. Dub.,</w:t>
      </w:r>
      <w:r>
        <w:rPr>
          <w:rFonts w:ascii="Times New Roman" w:eastAsia="Times New Roman" w:hAnsi="Times New Roman" w:cs="Times New Roman"/>
          <w:color w:val="000000"/>
          <w:spacing w:val="0"/>
          <w:w w:val="100"/>
          <w:position w:val="0"/>
          <w:shd w:val="clear" w:color="auto" w:fill="auto"/>
          <w:lang w:val="en-US" w:eastAsia="en-US" w:bidi="en-US"/>
        </w:rPr>
        <w:t xml:space="preserve"> January 1900).</w:t>
      </w:r>
    </w:p>
    <w:p>
      <w:pPr>
        <w:pStyle w:val="Style3"/>
        <w:keepNext w:val="0"/>
        <w:keepLines w:val="0"/>
        <w:widowControl w:val="0"/>
        <w:shd w:val="clear" w:color="auto" w:fill="auto"/>
        <w:tabs>
          <w:tab w:pos="428"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Law of Successive Temperatures.—</w:t>
      </w:r>
      <w:r>
        <w:rPr>
          <w:rFonts w:ascii="Times New Roman" w:eastAsia="Times New Roman" w:hAnsi="Times New Roman" w:cs="Times New Roman"/>
          <w:color w:val="000000"/>
          <w:spacing w:val="0"/>
          <w:w w:val="100"/>
          <w:position w:val="0"/>
          <w:shd w:val="clear" w:color="auto" w:fill="auto"/>
          <w:lang w:val="en-US" w:eastAsia="en-US" w:bidi="en-US"/>
        </w:rPr>
        <w:t xml:space="preserve">The E.M.F. of a given couple between any temperatures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the algebraic sum of the E.M.F. between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any other temperature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the E.M.F. between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 useful result of this law is that it is sufficient to keep one junction always at some convenient standard temperature, such as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and to tabulate only the values of the E.M.F. in the circuit corresponding to different temperatures of the other junction.</w:t>
      </w:r>
    </w:p>
    <w:p>
      <w:pPr>
        <w:pStyle w:val="Style3"/>
        <w:keepNext w:val="0"/>
        <w:keepLines w:val="0"/>
        <w:widowControl w:val="0"/>
        <w:shd w:val="clear" w:color="auto" w:fill="auto"/>
        <w:tabs>
          <w:tab w:pos="460"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Law of Intermediate Metals.—</w:t>
      </w:r>
      <w:r>
        <w:rPr>
          <w:rFonts w:ascii="Times New Roman" w:eastAsia="Times New Roman" w:hAnsi="Times New Roman" w:cs="Times New Roman"/>
          <w:color w:val="000000"/>
          <w:spacing w:val="0"/>
          <w:w w:val="100"/>
          <w:position w:val="0"/>
          <w:shd w:val="clear" w:color="auto" w:fill="auto"/>
          <w:lang w:val="en-US" w:eastAsia="en-US" w:bidi="en-US"/>
        </w:rPr>
        <w:t>A thermoelectric circuit may be cut at any point and a wire of some other metal introduced without altering the E.M.F. in the circuit, provided that the two junctions with the metal introduced arc kept at the same temperature. This law is commonly applied in connecting a thermocouple to a galvanometer with coils of copper wire, the junctions of the copper wires with the other metals being placed side by side in a vessel of water or otherwise kept at the same temperature. Another way of stating this law, which, though apparently quite different, is really equivalent in effect, is the following. The E.M.F. of any couple, AB, for any given limits of temperature is the algebraic sum of the E.M.F.s between the same limits of temperature of the couples BC and CA formed with any other metal C. It is for this reason unnecessary to tabulate the E.M.F.s of all possible combinations of metals, since the E.M.F. of any couple can be at once deduced by addition from the values given by its components with a single standard metal. Different observers have chosen different metals as the standard of reference. Tait and J. A. Fleming select lead on account of the smallness of the Thomson effect in it, as ob</w:t>
        <w:softHyphen/>
        <w:t xml:space="preserve">served by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Roux. Noll adopts mercury because it is easily purified, and its physical condition in the liquid state is deter</w:t>
        <w:softHyphen/>
        <w:t>minate; there is, however, a discontinuity involved in passing from the liquid to the solid state at a temperature of -40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and it cannot be used at all with some metals, such as lead, on account of the rapidity with which it dissolves them. Both lead and mercury have the disadvantage that they cannot be employed for temperatures much above 3oo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Of all metals, copper is the most generally convenient, as it is always employed in electrical connexions and is easily obtained in the annealed state of uniform purity. For high temperature work it is necessary to employ platinum, which would be an ideal standard for all purposes on account of its constancy and infusibility, did not the thermoelectric properties of different specimens differ considerably.</w:t>
      </w:r>
    </w:p>
    <w:p>
      <w:pPr>
        <w:pStyle w:val="Style7"/>
        <w:keepNext w:val="0"/>
        <w:keepLines w:val="0"/>
        <w:widowControl w:val="0"/>
        <w:shd w:val="clear" w:color="auto" w:fill="auto"/>
        <w:tabs>
          <w:tab w:pos="424"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Thermoelectric Formulae.</w:t>
      </w:r>
      <w:r>
        <w:rPr>
          <w:rFonts w:ascii="Times New Roman" w:eastAsia="Times New Roman" w:hAnsi="Times New Roman" w:cs="Times New Roman"/>
          <w:color w:val="000000"/>
          <w:spacing w:val="0"/>
          <w:w w:val="100"/>
          <w:position w:val="0"/>
          <w:shd w:val="clear" w:color="auto" w:fill="auto"/>
          <w:lang w:val="en-US" w:eastAsia="en-US" w:bidi="en-US"/>
        </w:rPr>
        <w:t>—On the basis of the principles stated above, the most obvious method of tabulating the observa</w:t>
        <w:softHyphen/>
        <w:t xml:space="preserve">tions would be to give the values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of the E.M.F. between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for each metal against the standard. This involves no assump</w:t>
        <w:softHyphen/>
        <w:t>tions as to the law of variation of E.M.F. with temperature, but is somewhat cumbrous. In the majority of cases it is found that the observations can be represented within the. limits of experi</w:t>
        <w:softHyphen/>
        <w:t>mental error by a fairly simple empirical formula, at least for moderate ranges of temperatures. The following formulae are some of those employed for this purpose by different observers :—</w:t>
      </w:r>
    </w:p>
    <w:p>
      <w:pPr>
        <w:pStyle w:val="Style7"/>
        <w:keepNext w:val="0"/>
        <w:keepLines w:val="0"/>
        <w:widowControl w:val="0"/>
        <w:shd w:val="clear" w:color="auto" w:fill="auto"/>
        <w:tabs>
          <w:tab w:leader="dot" w:pos="2677" w:val="left"/>
        </w:tabs>
        <w:bidi w:val="0"/>
        <w:spacing w:line="17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bt+cP</w:t>
        <w:tab/>
      </w:r>
      <w:r>
        <w:rPr>
          <w:rFonts w:ascii="Times New Roman" w:eastAsia="Times New Roman" w:hAnsi="Times New Roman" w:cs="Times New Roman"/>
          <w:color w:val="000000"/>
          <w:spacing w:val="0"/>
          <w:w w:val="100"/>
          <w:position w:val="0"/>
          <w:shd w:val="clear" w:color="auto" w:fill="auto"/>
          <w:lang w:val="en-US" w:eastAsia="en-US" w:bidi="en-US"/>
        </w:rPr>
        <w:t>(Avenarius, 1863.)</w:t>
      </w:r>
    </w:p>
    <w:p>
      <w:pPr>
        <w:pStyle w:val="Style7"/>
        <w:keepNext w:val="0"/>
        <w:keepLines w:val="0"/>
        <w:widowControl w:val="0"/>
        <w:shd w:val="clear" w:color="auto" w:fill="auto"/>
        <w:tabs>
          <w:tab w:leader="dot" w:pos="2677" w:val="left"/>
        </w:tabs>
        <w:bidi w:val="0"/>
        <w:spacing w:line="17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=at+bP+ct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(General type.)</w:t>
      </w:r>
    </w:p>
    <w:p>
      <w:pPr>
        <w:pStyle w:val="Style3"/>
        <w:keepNext w:val="0"/>
        <w:keepLines w:val="0"/>
        <w:widowControl w:val="0"/>
        <w:shd w:val="clear" w:color="auto" w:fill="auto"/>
        <w:tabs>
          <w:tab w:pos="2371" w:val="center"/>
          <w:tab w:pos="2677" w:val="left"/>
          <w:tab w:pos="2960" w:val="left"/>
        </w:tabs>
        <w:bidi w:val="0"/>
        <w:spacing w:line="173"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log E≈a+b∕T+c log T .</w:t>
        <w:tab/>
        <w:t>.</w:t>
        <w:tab/>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(Becquerel, 1863.)</w:t>
      </w:r>
    </w:p>
    <w:p>
      <w:pPr>
        <w:pStyle w:val="Style3"/>
        <w:keepNext w:val="0"/>
        <w:keepLines w:val="0"/>
        <w:widowControl w:val="0"/>
        <w:shd w:val="clear" w:color="auto" w:fill="auto"/>
        <w:tabs>
          <w:tab w:pos="2371" w:val="center"/>
          <w:tab w:pos="2677" w:val="left"/>
          <w:tab w:pos="2960" w:val="left"/>
        </w:tabs>
        <w:bidi w:val="0"/>
        <w:spacing w:line="173"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E(ι-n≈c{t-t') {2t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-(t+t'))</w:t>
        <w:tab/>
        <w:t>.</w:t>
        <w:tab/>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(Tait, 1870)</w:t>
      </w:r>
    </w:p>
    <w:p>
      <w:pPr>
        <w:pStyle w:val="Style7"/>
        <w:keepNext w:val="0"/>
        <w:keepLines w:val="0"/>
        <w:widowControl w:val="0"/>
        <w:shd w:val="clear" w:color="auto" w:fill="auto"/>
        <w:tabs>
          <w:tab w:pos="2371" w:val="center"/>
          <w:tab w:pos="2677" w:val="left"/>
          <w:tab w:pos="2960"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l-GR" w:eastAsia="el-GR" w:bidi="el-GR"/>
        </w:rPr>
        <w:t>Ε,</w:t>
      </w:r>
      <w:r>
        <w:rPr>
          <w:rFonts w:ascii="Times New Roman" w:eastAsia="Times New Roman" w:hAnsi="Times New Roman" w:cs="Times New Roman"/>
          <w:color w:val="000000"/>
          <w:spacing w:val="0"/>
          <w:w w:val="100"/>
          <w:position w:val="0"/>
          <w:shd w:val="clear" w:color="auto" w:fill="auto"/>
          <w:lang w:val="en-US" w:eastAsia="en-US" w:bidi="en-US"/>
        </w:rPr>
        <w:t>+£,» ≈=ιo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α+01</w:t>
      </w:r>
      <w:r>
        <w:rPr>
          <w:rFonts w:ascii="Times New Roman" w:eastAsia="Times New Roman" w:hAnsi="Times New Roman" w:cs="Times New Roman"/>
          <w:color w:val="000000"/>
          <w:spacing w:val="0"/>
          <w:w w:val="100"/>
          <w:position w:val="0"/>
          <w:shd w:val="clear" w:color="auto" w:fill="auto"/>
          <w:lang w:val="en-US" w:eastAsia="en-US" w:bidi="en-US"/>
        </w:rPr>
        <w:t>4-ιo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w:t>
        <w:tab/>
        <w:t>.</w:t>
        <w:tab/>
        <w:t>.</w:t>
        <w:tab/>
        <w:t>(Barus, 1889.)</w:t>
      </w:r>
    </w:p>
    <w:p>
      <w:pPr>
        <w:pStyle w:val="Style7"/>
        <w:keepNext w:val="0"/>
        <w:keepLines w:val="0"/>
        <w:widowControl w:val="0"/>
        <w:shd w:val="clear" w:color="auto" w:fill="auto"/>
        <w:tabs>
          <w:tab w:leader="dot" w:pos="2677"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=αE+⅛E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⅛cE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 (Holbornand Wien, 1892.)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E(t-f)-b{t-t')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tl1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de-DE" w:eastAsia="de-DE" w:bidi="de-DE"/>
        </w:rPr>
        <w:t xml:space="preserve">(Paschen, </w:t>
      </w:r>
      <w:r>
        <w:rPr>
          <w:rFonts w:ascii="Times New Roman" w:eastAsia="Times New Roman" w:hAnsi="Times New Roman" w:cs="Times New Roman"/>
          <w:color w:val="000000"/>
          <w:spacing w:val="0"/>
          <w:w w:val="100"/>
          <w:position w:val="0"/>
          <w:shd w:val="clear" w:color="auto" w:fill="auto"/>
          <w:lang w:val="en-US" w:eastAsia="en-US" w:bidi="en-US"/>
        </w:rPr>
        <w:t>1893.)</w:t>
      </w:r>
    </w:p>
    <w:p>
      <w:pPr>
        <w:pStyle w:val="Style3"/>
        <w:keepNext w:val="0"/>
        <w:keepLines w:val="0"/>
        <w:widowControl w:val="0"/>
        <w:shd w:val="clear" w:color="auto" w:fill="auto"/>
        <w:tabs>
          <w:tab w:pos="2359" w:val="left"/>
          <w:tab w:pos="2677" w:val="left"/>
          <w:tab w:pos="2960" w:val="left"/>
        </w:tabs>
        <w:bidi w:val="0"/>
        <w:spacing w:line="173"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E(t-l')=a{t-t')+b{t-t')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t>.</w:t>
        <w:tab/>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(Steele, 1894.)</w:t>
      </w:r>
    </w:p>
    <w:p>
      <w:pPr>
        <w:pStyle w:val="Style7"/>
        <w:keepNext w:val="0"/>
        <w:keepLines w:val="0"/>
        <w:widowControl w:val="0"/>
        <w:shd w:val="clear" w:color="auto" w:fill="auto"/>
        <w:tabs>
          <w:tab w:pos="2359" w:val="left"/>
          <w:tab w:pos="2677" w:val="left"/>
          <w:tab w:pos="2960"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⅛∙τ</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)=mΓ"-mΓ</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mt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t>.</w:t>
      </w:r>
      <w:r>
        <w:rPr>
          <w:rFonts w:ascii="Times New Roman" w:eastAsia="Times New Roman" w:hAnsi="Times New Roman" w:cs="Times New Roman"/>
          <w:color w:val="000000"/>
          <w:spacing w:val="0"/>
          <w:w w:val="100"/>
          <w:position w:val="0"/>
          <w:shd w:val="clear" w:color="auto" w:fill="auto"/>
          <w:lang w:val="en-US" w:eastAsia="en-US" w:bidi="en-US"/>
        </w:rPr>
        <w:tab/>
        <w:t>,</w:t>
        <w:tab/>
        <w:t>(Holman, 1896.)</w:t>
      </w:r>
    </w:p>
    <w:p>
      <w:pPr>
        <w:pStyle w:val="Style7"/>
        <w:keepNext w:val="0"/>
        <w:keepLines w:val="0"/>
        <w:widowControl w:val="0"/>
        <w:shd w:val="clear" w:color="auto" w:fill="auto"/>
        <w:tabs>
          <w:tab w:pos="2960" w:val="left"/>
        </w:tabs>
        <w:bidi w:val="0"/>
        <w:spacing w:line="17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bt+c log</w:t>
      </w:r>
      <w:r>
        <w:rPr>
          <w:rFonts w:ascii="Times New Roman" w:eastAsia="Times New Roman" w:hAnsi="Times New Roman" w:cs="Times New Roman"/>
          <w:color w:val="000000"/>
          <w:spacing w:val="0"/>
          <w:w w:val="100"/>
          <w:position w:val="0"/>
          <w:shd w:val="clear" w:color="auto" w:fill="auto"/>
          <w:lang w:val="en-US" w:eastAsia="en-US" w:bidi="en-US"/>
        </w:rPr>
        <w:t xml:space="preserve"> Γ∕273,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 = Ts.) .</w:t>
      </w:r>
      <w:r>
        <w:rPr>
          <w:rFonts w:ascii="Times New Roman" w:eastAsia="Times New Roman" w:hAnsi="Times New Roman" w:cs="Times New Roman"/>
          <w:color w:val="000000"/>
          <w:spacing w:val="0"/>
          <w:w w:val="100"/>
          <w:position w:val="0"/>
          <w:shd w:val="clear" w:color="auto" w:fill="auto"/>
          <w:lang w:val="en-US" w:eastAsia="en-US" w:bidi="en-US"/>
        </w:rPr>
        <w:tab/>
        <w:t>(Stanfield, 1898.)</w:t>
      </w:r>
    </w:p>
    <w:p>
      <w:pPr>
        <w:pStyle w:val="Style7"/>
        <w:keepNext w:val="0"/>
        <w:keepLines w:val="0"/>
        <w:widowControl w:val="0"/>
        <w:shd w:val="clear" w:color="auto" w:fill="auto"/>
        <w:tabs>
          <w:tab w:leader="dot" w:pos="2677"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 -α+⅛∕-j-cf≈</w:t>
        <w:tab/>
        <w:t>(Holborn and Day, 1899.)</w:t>
      </w:r>
    </w:p>
    <w:p>
      <w:pPr>
        <w:pStyle w:val="Style3"/>
        <w:keepNext w:val="0"/>
        <w:keepLines w:val="0"/>
        <w:widowControl w:val="0"/>
        <w:shd w:val="clear" w:color="auto" w:fill="auto"/>
        <w:bidi w:val="0"/>
        <w:spacing w:line="173"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=at+cP+s°{T log </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T-273 log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.273).</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j≡s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+2cT,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small. See sec. 15.)</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