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moderate ranges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temperature the binomial formula of Μ. P. Avenarius is generally sufficient, and has been employed by many observers. It is figured by Avenarius </w:t>
      </w:r>
      <w:r>
        <w:rPr>
          <w:rFonts w:ascii="Times New Roman" w:eastAsia="Times New Roman" w:hAnsi="Times New Roman" w:cs="Times New Roman"/>
          <w:i/>
          <w:iCs/>
          <w:color w:val="000000"/>
          <w:spacing w:val="0"/>
          <w:w w:val="100"/>
          <w:position w:val="0"/>
          <w:shd w:val="clear" w:color="auto" w:fill="auto"/>
          <w:lang w:val="en-US" w:eastAsia="en-US" w:bidi="en-US"/>
        </w:rPr>
        <w:t>(Fogg. Ann., 119,</w:t>
      </w:r>
      <w:r>
        <w:rPr>
          <w:rFonts w:ascii="Times New Roman" w:eastAsia="Times New Roman" w:hAnsi="Times New Roman" w:cs="Times New Roman"/>
          <w:color w:val="000000"/>
          <w:spacing w:val="0"/>
          <w:w w:val="100"/>
          <w:position w:val="0"/>
          <w:shd w:val="clear" w:color="auto" w:fill="auto"/>
          <w:lang w:val="en-US" w:eastAsia="en-US" w:bidi="en-US"/>
        </w:rPr>
        <w:t xml:space="preserve"> p. 406) as a semi-circle, but it is really a parabola with its axis parallel to the axis of £, and its vertex at the point </w:t>
      </w:r>
      <w:r>
        <w:rPr>
          <w:rFonts w:ascii="Times New Roman" w:eastAsia="Times New Roman" w:hAnsi="Times New Roman" w:cs="Times New Roman"/>
          <w:i/>
          <w:iCs/>
          <w:color w:val="000000"/>
          <w:spacing w:val="0"/>
          <w:w w:val="100"/>
          <w:position w:val="0"/>
          <w:shd w:val="clear" w:color="auto" w:fill="auto"/>
          <w:lang w:val="en-US" w:eastAsia="en-US" w:bidi="en-US"/>
        </w:rPr>
        <w:t>t≈-b</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2c,</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the neutral temperature. We have also the relations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dl≈b+2cl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dP-2c.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relation gives the thermoelectric power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at any temperature, and is probably the most convenient method of stating results in all cases in which this formula is applicable. A discussion of some of the exponential formulae is given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Holman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41, p. 465, June 1896).</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Experimental Results.—</w:t>
      </w:r>
      <w:r>
        <w:rPr>
          <w:rFonts w:ascii="Times New Roman" w:eastAsia="Times New Roman" w:hAnsi="Times New Roman" w:cs="Times New Roman"/>
          <w:color w:val="000000"/>
          <w:spacing w:val="0"/>
          <w:w w:val="100"/>
          <w:position w:val="0"/>
          <w:shd w:val="clear" w:color="auto" w:fill="auto"/>
          <w:lang w:val="en-US" w:eastAsia="en-US" w:bidi="en-US"/>
        </w:rPr>
        <w:t>In the following comparative table of the results of different observers the values are referred to lead. Before the time of Tait’s researches such data were of little interest or value, on account of insufficient care in securing the purity of the materials tested; but increased facilities in this respect, com</w:t>
        <w:softHyphen/>
        <w:t>bined with great improvements in electrical measurements, have put the question on a different footing. The comparison of inde</w:t>
        <w:softHyphen/>
        <w:t>pendent results shows in many cases a remarkable concordance, and the data are becoming of great value for the testing of various theories of the relations between heat and electricity.</w:t>
      </w:r>
    </w:p>
    <w:tbl>
      <w:tblPr>
        <w:tblOverlap w:val="never"/>
        <w:jc w:val="left"/>
        <w:tblLayout w:type="fixed"/>
      </w:tblPr>
      <w:tblGrid>
        <w:gridCol w:w="2064"/>
        <w:gridCol w:w="941"/>
        <w:gridCol w:w="955"/>
        <w:gridCol w:w="941"/>
        <w:gridCol w:w="950"/>
        <w:gridCol w:w="946"/>
        <w:gridCol w:w="955"/>
        <w:gridCol w:w="941"/>
        <w:gridCol w:w="970"/>
      </w:tblGrid>
      <w:tr>
        <w:trPr>
          <w:trHeight w:val="643"/>
        </w:trPr>
        <w:tc>
          <w:tcPr>
            <w:gridSpan w:val="9"/>
            <w:tcBorders/>
            <w:shd w:val="clear" w:color="auto" w:fill="FFFFFF"/>
            <w:vAlign w:val="top"/>
          </w:tcPr>
          <w:p>
            <w:pPr>
              <w:pStyle w:val="Style7"/>
              <w:keepNext w:val="0"/>
              <w:keepLines w:val="0"/>
              <w:widowControl w:val="0"/>
              <w:shd w:val="clear" w:color="auto" w:fill="auto"/>
              <w:bidi w:val="0"/>
              <w:spacing w:line="199" w:lineRule="auto"/>
              <w:ind w:left="360" w:hanging="360"/>
              <w:jc w:val="left"/>
              <w:rPr>
                <w:sz w:val="16"/>
                <w:szCs w:val="16"/>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Table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Thermoelectric power,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ρ=dE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in microvolts at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50’ 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of pure metals with respect to lead.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mean change,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2c = &lt;PE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of the thermoelectric pow’er per degree C. over the range covered by the experiments, is added in each case.)</w:t>
            </w:r>
          </w:p>
        </w:tc>
      </w:tr>
      <w:tr>
        <w:trPr>
          <w:trHeight w:val="41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Metal.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Tail (0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 300</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Steele (o</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to ιoo</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Noll (o</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 ÎOO*).</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5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Dewar and Fleming ( 4- ι∞</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to — 2OO*).</w:t>
            </w:r>
          </w:p>
        </w:tc>
      </w:tr>
      <w:tr>
        <w:trPr>
          <w:trHeight w:val="39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Aluminium</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p>
          <w:p>
            <w:pPr>
              <w:pStyle w:val="Style7"/>
              <w:keepNext w:val="0"/>
              <w:keepLines w:val="0"/>
              <w:widowControl w:val="0"/>
              <w:shd w:val="clear" w:color="auto" w:fill="auto"/>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2C.</w:t>
            </w:r>
          </w:p>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46"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6"/>
                <w:szCs w:val="16"/>
                <w:shd w:val="clear" w:color="auto" w:fill="auto"/>
                <w:lang w:val="en-US" w:eastAsia="en-US" w:bidi="en-US"/>
              </w:rPr>
              <w:t>-0-42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2C.</w:t>
            </w:r>
          </w:p>
          <w:p>
            <w:pPr>
              <w:pStyle w:val="Style7"/>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∙OO2I</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42"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6"/>
                <w:szCs w:val="16"/>
                <w:shd w:val="clear" w:color="auto" w:fill="auto"/>
                <w:lang w:val="en-US" w:eastAsia="en-US" w:bidi="en-US"/>
              </w:rPr>
              <w:t>-0-41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2C,</w:t>
            </w:r>
          </w:p>
          <w:p>
            <w:pPr>
              <w:pStyle w:val="Style7"/>
              <w:keepNext w:val="0"/>
              <w:keepLines w:val="0"/>
              <w:widowControl w:val="0"/>
              <w:shd w:val="clear" w:color="auto" w:fill="auto"/>
              <w:bidi w:val="0"/>
              <w:spacing w:line="206"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∙OOI74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w:t>
            </w:r>
          </w:p>
          <w:p>
            <w:pPr>
              <w:pStyle w:val="Style7"/>
              <w:keepNext w:val="0"/>
              <w:keepLines w:val="0"/>
              <w:widowControl w:val="0"/>
              <w:shd w:val="clear" w:color="auto" w:fill="auto"/>
              <w:bidi w:val="0"/>
              <w:spacing w:line="206"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-o∙394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2C.</w:t>
            </w:r>
          </w:p>
          <w:p>
            <w:pPr>
              <w:pStyle w:val="Style7"/>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∙∞398</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Antimony</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+42-83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+∙145o*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+3∙210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•02817</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Bismuth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-76-870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∙08480</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Cadmium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+∙0429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+∙0339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+•02365</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tabs>
                <w:tab w:pos="1142" w:val="left"/>
                <w:tab w:pos="1483" w:val="left"/>
                <w:tab w:pos="181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Carbon .</w:t>
              <w:tab/>
              <w:t>.</w:t>
              <w:tab/>
              <w:t>.</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+12∙795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+•03251</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Copper</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ι∙8ι*</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∙0I22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56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+•00683</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Cobalt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-19∙252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-∙0734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Gold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+3∙3O</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∙0I02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∙Oi3i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+3∙I0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+ 1∙161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+•00315</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Iron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÷I4∙74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+n∙835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-•0306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+ 14∙522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—OI33θ</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Steel (piano)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•01092</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Steel (Mn 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--00445</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Magnesium</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ι∙75*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-∙OO95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-o∙113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∙0019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-0-126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+∙00353</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Mercury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•0086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tabs>
                <w:tab w:pos="80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Nickel</w:t>
              <w:tab/>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-∙05i2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∙0302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-•05639</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Palladium</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-•0359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—9∙IOO</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-∙04714</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Platinum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∙OIIO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∙O2I1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-4∙347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•03708</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184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Silver</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∙0II5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+•0076</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+3∙317</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+∙00714</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Thallium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-∙OO77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trPr>
        <w:tc>
          <w:tcPr>
            <w:tcBorders>
              <w:left w:val="single" w:sz="4"/>
            </w:tcBorders>
            <w:shd w:val="clear" w:color="auto" w:fill="FFFFFF"/>
            <w:vAlign w:val="top"/>
          </w:tcPr>
          <w:p>
            <w:pPr>
              <w:pStyle w:val="Style7"/>
              <w:keepNext w:val="0"/>
              <w:keepLines w:val="0"/>
              <w:widowControl w:val="0"/>
              <w:shd w:val="clear" w:color="auto" w:fill="auto"/>
              <w:tabs>
                <w:tab w:leader="dot" w:pos="1853"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Tin</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-o∙ι6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—o∙o91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∙OOO4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-0-067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+0∙057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+∙00021</w:t>
            </w:r>
          </w:p>
        </w:tc>
      </w:tr>
      <w:tr>
        <w:trPr>
          <w:trHeight w:val="254"/>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Zinc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+3∙5i</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+∙0240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ι∙77*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∙OI95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+3∙318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+•0172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+3∙233</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■01040</w:t>
            </w:r>
          </w:p>
        </w:tc>
      </w:tr>
    </w:tbl>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Explanation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The figures marked with an asterisk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represent discrepancies which are probably caused by impurities in the specimens. At the time of Tait’s work in 1873 it was difficult, if not impossible, in many cases to secure pure materials. The work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three observers dates from 1894-95. The value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thermoelectric power </w:t>
      </w:r>
      <w:r>
        <w:rPr>
          <w:rFonts w:ascii="Times New Roman" w:eastAsia="Times New Roman" w:hAnsi="Times New Roman" w:cs="Times New Roman"/>
          <w:i/>
          <w:iCs/>
          <w:color w:val="000000"/>
          <w:spacing w:val="0"/>
          <w:w w:val="100"/>
          <w:position w:val="0"/>
          <w:shd w:val="clear" w:color="auto" w:fill="auto"/>
          <w:lang w:val="en-US" w:eastAsia="en-US" w:bidi="en-US"/>
        </w:rPr>
        <w:t>dE!dt</w:t>
      </w:r>
      <w:r>
        <w:rPr>
          <w:rFonts w:ascii="Times New Roman" w:eastAsia="Times New Roman" w:hAnsi="Times New Roman" w:cs="Times New Roman"/>
          <w:color w:val="000000"/>
          <w:spacing w:val="0"/>
          <w:w w:val="100"/>
          <w:position w:val="0"/>
          <w:shd w:val="clear" w:color="auto" w:fill="auto"/>
          <w:lang w:val="en-US" w:eastAsia="en-US" w:bidi="en-US"/>
        </w:rPr>
        <w:t xml:space="preserve"> at 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is taken as the mean value between o’ and 100° C., over which range it can be most accurately determined. The values of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dfi</w:t>
      </w:r>
      <w:r>
        <w:rPr>
          <w:rFonts w:ascii="Times New Roman" w:eastAsia="Times New Roman" w:hAnsi="Times New Roman" w:cs="Times New Roman"/>
          <w:color w:val="000000"/>
          <w:spacing w:val="0"/>
          <w:w w:val="100"/>
          <w:position w:val="0"/>
          <w:shd w:val="clear" w:color="auto" w:fill="auto"/>
          <w:lang w:val="en-US" w:eastAsia="en-US" w:bidi="en-US"/>
        </w:rPr>
        <w:t xml:space="preserve"> agree as well as can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expected, considering the difference of the ranges of temperature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variety in the methods of observation adopted; they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calculated assuming the parabolic formula, which is certainly in many </w:t>
      </w:r>
      <w:r>
        <w:rPr>
          <w:rFonts w:ascii="Times New Roman" w:eastAsia="Times New Roman" w:hAnsi="Times New Roman" w:cs="Times New Roman"/>
          <w:color w:val="000000"/>
          <w:spacing w:val="0"/>
          <w:w w:val="100"/>
          <w:position w:val="0"/>
          <w:shd w:val="clear" w:color="auto" w:fill="auto"/>
          <w:lang w:val="en-US" w:eastAsia="en-US" w:bidi="en-US"/>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inadequate. Noll's values apply to the temperature of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Dewar and Fleming’s to that of —ιoo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C., approxi</w:t>
        <w:softHyphen/>
        <w:t>mately.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using the above table to find the value of £ or </w:t>
      </w: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temperature </w:t>
      </w:r>
      <w:r>
        <w:rPr>
          <w:rFonts w:ascii="Times New Roman" w:eastAsia="Times New Roman" w:hAnsi="Times New Roman" w:cs="Times New Roman"/>
          <w:color w:val="000000"/>
          <w:spacing w:val="0"/>
          <w:w w:val="100"/>
          <w:position w:val="0"/>
          <w:shd w:val="clear" w:color="auto" w:fill="auto"/>
          <w:lang w:val="en-US" w:eastAsia="en-US" w:bidi="en-US"/>
        </w:rPr>
        <w:t xml:space="preserve">or between any limits, denoting by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dEjdt</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color w:val="000000"/>
          <w:spacing w:val="0"/>
          <w:w w:val="100"/>
          <w:position w:val="0"/>
          <w:shd w:val="clear" w:color="auto" w:fill="auto"/>
          <w:lang w:val="en-US" w:eastAsia="en-US" w:bidi="en-US"/>
        </w:rPr>
        <w:t>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and by </w:t>
      </w:r>
      <w:r>
        <w:rPr>
          <w:rFonts w:ascii="Times New Roman" w:eastAsia="Times New Roman" w:hAnsi="Times New Roman" w:cs="Times New Roman"/>
          <w:i/>
          <w:iCs/>
          <w:color w:val="000000"/>
          <w:spacing w:val="0"/>
          <w:w w:val="100"/>
          <w:position w:val="0"/>
          <w:shd w:val="clear" w:color="auto" w:fill="auto"/>
          <w:lang w:val="en-US" w:eastAsia="en-US" w:bidi="en-US"/>
        </w:rPr>
        <w:t>2c</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value of the second </w:t>
      </w:r>
      <w:r>
        <w:rPr>
          <w:rFonts w:ascii="Times New Roman" w:eastAsia="Times New Roman" w:hAnsi="Times New Roman" w:cs="Times New Roman"/>
          <w:color w:val="000000"/>
          <w:spacing w:val="0"/>
          <w:w w:val="100"/>
          <w:position w:val="0"/>
          <w:shd w:val="clear" w:color="auto" w:fill="auto"/>
          <w:lang w:val="en-US" w:eastAsia="en-US" w:bidi="en-US"/>
        </w:rPr>
        <w:t>coeffi</w:t>
        <w:softHyphen/>
      </w:r>
      <w:r>
        <w:rPr>
          <w:rFonts w:ascii="Times New Roman" w:eastAsia="Times New Roman" w:hAnsi="Times New Roman" w:cs="Times New Roman"/>
          <w:color w:val="000000"/>
          <w:spacing w:val="0"/>
          <w:w w:val="100"/>
          <w:position w:val="0"/>
          <w:shd w:val="clear" w:color="auto" w:fill="auto"/>
          <w:lang w:val="en-US" w:eastAsia="en-US" w:bidi="en-US"/>
        </w:rPr>
        <w:t>cient, we have the following equations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630" w:val="left"/>
          <w:tab w:pos="4875" w:val="left"/>
        </w:tabs>
        <w:bidi w:val="0"/>
        <w:spacing w:line="20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'dt </w:t>
      </w:r>
      <w:r>
        <w:rPr>
          <w:rFonts w:ascii="Times New Roman" w:eastAsia="Times New Roman" w:hAnsi="Times New Roman" w:cs="Times New Roman"/>
          <w:i/>
          <w:iCs/>
          <w:color w:val="000000"/>
          <w:spacing w:val="0"/>
          <w:w w:val="100"/>
          <w:position w:val="0"/>
          <w:shd w:val="clear" w:color="auto" w:fill="auto"/>
          <w:lang w:val="en-US" w:eastAsia="en-US" w:bidi="en-US"/>
        </w:rPr>
        <w:t>= p+2c(t-ζo'),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any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Cent. .</w:t>
        <w:tab/>
      </w:r>
      <w:r>
        <w:rPr>
          <w:rFonts w:ascii="Times New Roman" w:eastAsia="Times New Roman" w:hAnsi="Times New Roman" w:cs="Times New Roman"/>
          <w:color w:val="000000"/>
          <w:spacing w:val="0"/>
          <w:w w:val="100"/>
          <w:position w:val="0"/>
          <w:shd w:val="clear" w:color="auto" w:fill="auto"/>
          <w:lang w:val="en-US" w:eastAsia="en-US" w:bidi="en-US"/>
        </w:rPr>
        <w:t>.</w:t>
        <w:tab/>
        <w:t>(3)</w:t>
      </w:r>
    </w:p>
    <w:p>
      <w:pPr>
        <w:pStyle w:val="Style3"/>
        <w:keepNext w:val="0"/>
        <w:keepLines w:val="0"/>
        <w:widowControl w:val="0"/>
        <w:shd w:val="clear" w:color="auto" w:fill="auto"/>
        <w:tabs>
          <w:tab w:leader="dot" w:pos="5067" w:val="righ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 (Z-Z')(Z&gt;+c(l-H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-ιoo))</w:t>
        <w:tab/>
        <w:t>(4)</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en-US" w:eastAsia="en-US" w:bidi="en-US"/>
        </w:rPr>
        <w:t xml:space="preserve">E.M.F. between any temperature Z and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Methods of Observation.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In Tait's observations the E.M.F. </w:t>
      </w:r>
      <w:r>
        <w:rPr>
          <w:rFonts w:ascii="Times New Roman" w:eastAsia="Times New Roman" w:hAnsi="Times New Roman" w:cs="Times New Roman"/>
          <w:color w:val="000000"/>
          <w:spacing w:val="0"/>
          <w:w w:val="100"/>
          <w:position w:val="0"/>
          <w:shd w:val="clear" w:color="auto" w:fill="auto"/>
          <w:lang w:val="en-US" w:eastAsia="en-US" w:bidi="en-US"/>
        </w:rPr>
        <w:t xml:space="preserve">was measured by </w:t>
      </w:r>
      <w:r>
        <w:rPr>
          <w:rFonts w:ascii="Times New Roman" w:eastAsia="Times New Roman" w:hAnsi="Times New Roman" w:cs="Times New Roman"/>
          <w:color w:val="000000"/>
          <w:spacing w:val="0"/>
          <w:w w:val="100"/>
          <w:position w:val="0"/>
          <w:shd w:val="clear" w:color="auto" w:fill="auto"/>
          <w:lang w:val="en-US" w:eastAsia="en-US" w:bidi="en-US"/>
        </w:rPr>
        <w:t xml:space="preserve">the deflection </w:t>
      </w:r>
      <w:r>
        <w:rPr>
          <w:rFonts w:ascii="Times New Roman" w:eastAsia="Times New Roman" w:hAnsi="Times New Roman" w:cs="Times New Roman"/>
          <w:color w:val="000000"/>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mirror galvanometer, and the </w:t>
      </w:r>
      <w:r>
        <w:rPr>
          <w:rFonts w:ascii="Times New Roman" w:eastAsia="Times New Roman" w:hAnsi="Times New Roman" w:cs="Times New Roman"/>
          <w:color w:val="000000"/>
          <w:spacing w:val="0"/>
          <w:w w:val="100"/>
          <w:position w:val="0"/>
          <w:shd w:val="clear" w:color="auto" w:fill="auto"/>
          <w:lang w:val="en-US" w:eastAsia="en-US" w:bidi="en-US"/>
        </w:rPr>
        <w:t xml:space="preserve">temperature by means </w:t>
      </w:r>
      <w:r>
        <w:rPr>
          <w:rFonts w:ascii="Times New Roman" w:eastAsia="Times New Roman" w:hAnsi="Times New Roman" w:cs="Times New Roman"/>
          <w:color w:val="000000"/>
          <w:spacing w:val="0"/>
          <w:w w:val="100"/>
          <w:position w:val="0"/>
          <w:shd w:val="clear" w:color="auto" w:fill="auto"/>
          <w:lang w:val="en-US" w:eastAsia="en-US" w:bidi="en-US"/>
        </w:rPr>
        <w:t xml:space="preserve">of a mercury thermometer or an auxiliary </w:t>
      </w:r>
      <w:r>
        <w:rPr>
          <w:rFonts w:ascii="Times New Roman" w:eastAsia="Times New Roman" w:hAnsi="Times New Roman" w:cs="Times New Roman"/>
          <w:color w:val="000000"/>
          <w:spacing w:val="0"/>
          <w:w w:val="100"/>
          <w:position w:val="0"/>
          <w:shd w:val="clear" w:color="auto" w:fill="auto"/>
          <w:lang w:val="en-US" w:eastAsia="en-US" w:bidi="en-US"/>
        </w:rPr>
        <w:t xml:space="preserve">thermocouple. He states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deviations from the formula were </w:t>
      </w:r>
      <w:r>
        <w:rPr>
          <w:rFonts w:ascii="Times New Roman" w:eastAsia="Times New Roman" w:hAnsi="Times New Roman" w:cs="Times New Roman"/>
          <w:color w:val="000000"/>
          <w:spacing w:val="0"/>
          <w:w w:val="100"/>
          <w:position w:val="0"/>
          <w:shd w:val="clear" w:color="auto" w:fill="auto"/>
          <w:lang w:val="en-US" w:eastAsia="en-US" w:bidi="en-US"/>
        </w:rPr>
        <w:t xml:space="preserve">" quite within </w:t>
      </w:r>
      <w:r>
        <w:rPr>
          <w:rFonts w:ascii="Times New Roman" w:eastAsia="Times New Roman" w:hAnsi="Times New Roman" w:cs="Times New Roman"/>
          <w:color w:val="000000"/>
          <w:spacing w:val="0"/>
          <w:w w:val="100"/>
          <w:position w:val="0"/>
          <w:shd w:val="clear" w:color="auto" w:fill="auto"/>
          <w:lang w:val="en-US" w:eastAsia="en-US" w:bidi="en-US"/>
        </w:rPr>
        <w:t>the limits of error introduced by the altera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resistance of the circuit with rise of temperature, the </w:t>
      </w:r>
      <w:r>
        <w:rPr>
          <w:rFonts w:ascii="Times New Roman" w:eastAsia="Times New Roman" w:hAnsi="Times New Roman" w:cs="Times New Roman"/>
          <w:color w:val="000000"/>
          <w:spacing w:val="0"/>
          <w:w w:val="100"/>
          <w:position w:val="0"/>
          <w:shd w:val="clear" w:color="auto" w:fill="auto"/>
          <w:lang w:val="en-US" w:eastAsia="en-US" w:bidi="en-US"/>
        </w:rPr>
        <w:t xml:space="preserve">deviations of the mercury </w:t>
      </w:r>
      <w:r>
        <w:rPr>
          <w:rFonts w:ascii="Times New Roman" w:eastAsia="Times New Roman" w:hAnsi="Times New Roman" w:cs="Times New Roman"/>
          <w:color w:val="000000"/>
          <w:spacing w:val="0"/>
          <w:w w:val="100"/>
          <w:position w:val="0"/>
          <w:shd w:val="clear" w:color="auto" w:fill="auto"/>
          <w:lang w:val="en-US" w:eastAsia="en-US" w:bidi="en-US"/>
        </w:rPr>
        <w:t xml:space="preserve">thermometers from the absolute </w:t>
      </w:r>
      <w:r>
        <w:rPr>
          <w:rFonts w:ascii="Times New Roman" w:eastAsia="Times New Roman" w:hAnsi="Times New Roman" w:cs="Times New Roman"/>
          <w:color w:val="000000"/>
          <w:spacing w:val="0"/>
          <w:w w:val="100"/>
          <w:position w:val="0"/>
          <w:shd w:val="clear" w:color="auto" w:fill="auto"/>
          <w:lang w:val="en-US" w:eastAsia="en-US" w:bidi="en-US"/>
        </w:rPr>
        <w:t xml:space="preserve">scale, and the </w:t>
      </w:r>
      <w:r>
        <w:rPr>
          <w:rFonts w:ascii="Times New Roman" w:eastAsia="Times New Roman" w:hAnsi="Times New Roman" w:cs="Times New Roman"/>
          <w:color w:val="000000"/>
          <w:spacing w:val="0"/>
          <w:w w:val="100"/>
          <w:position w:val="0"/>
          <w:shd w:val="clear" w:color="auto" w:fill="auto"/>
          <w:lang w:val="fr-FR" w:eastAsia="fr-FR" w:bidi="fr-FR"/>
        </w:rPr>
        <w:t xml:space="preserve">non-correction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indications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thermometer for </w:t>
      </w:r>
      <w:r>
        <w:rPr>
          <w:rFonts w:ascii="Times New Roman" w:eastAsia="Times New Roman" w:hAnsi="Times New Roman" w:cs="Times New Roman"/>
          <w:color w:val="000000"/>
          <w:spacing w:val="0"/>
          <w:w w:val="100"/>
          <w:position w:val="0"/>
          <w:shd w:val="clear" w:color="auto" w:fill="auto"/>
          <w:lang w:val="en-US" w:eastAsia="en-US" w:bidi="en-US"/>
        </w:rPr>
        <w:t xml:space="preserve">the long column of mercury' not immersed in </w:t>
      </w:r>
      <w:r>
        <w:rPr>
          <w:rFonts w:ascii="Times New Roman" w:eastAsia="Times New Roman" w:hAnsi="Times New Roman" w:cs="Times New Roman"/>
          <w:color w:val="000000"/>
          <w:spacing w:val="0"/>
          <w:w w:val="100"/>
          <w:position w:val="0"/>
          <w:shd w:val="clear" w:color="auto" w:fill="auto"/>
          <w:lang w:val="en-US" w:eastAsia="en-US" w:bidi="en-US"/>
        </w:rPr>
        <w:t xml:space="preserve">the hot oil round the </w:t>
      </w:r>
      <w:r>
        <w:rPr>
          <w:rFonts w:ascii="Times New Roman" w:eastAsia="Times New Roman" w:hAnsi="Times New Roman" w:cs="Times New Roman"/>
          <w:color w:val="000000"/>
          <w:spacing w:val="0"/>
          <w:w w:val="100"/>
          <w:position w:val="0"/>
          <w:shd w:val="clear" w:color="auto" w:fill="auto"/>
          <w:lang w:val="en-US" w:eastAsia="en-US" w:bidi="en-US"/>
        </w:rPr>
        <w:t xml:space="preserve">junctions.” The latter correction may </w:t>
      </w:r>
      <w:r>
        <w:rPr>
          <w:rFonts w:ascii="Times New Roman" w:eastAsia="Times New Roman" w:hAnsi="Times New Roman" w:cs="Times New Roman"/>
          <w:color w:val="000000"/>
          <w:spacing w:val="0"/>
          <w:w w:val="100"/>
          <w:position w:val="0"/>
          <w:shd w:val="clear" w:color="auto" w:fill="auto"/>
          <w:lang w:val="en-US" w:eastAsia="en-US" w:bidi="en-US"/>
        </w:rPr>
        <w:t xml:space="preserve">amount to </w:t>
      </w:r>
      <w:r>
        <w:rPr>
          <w:rFonts w:ascii="Times New Roman" w:eastAsia="Times New Roman" w:hAnsi="Times New Roman" w:cs="Times New Roman"/>
          <w:color w:val="000000"/>
          <w:spacing w:val="0"/>
          <w:w w:val="100"/>
          <w:position w:val="0"/>
          <w:shd w:val="clear" w:color="auto" w:fill="auto"/>
          <w:lang w:val="en-US" w:eastAsia="en-US" w:bidi="en-US"/>
        </w:rPr>
        <w:t xml:space="preserve">about ιo° </w:t>
      </w:r>
      <w:r>
        <w:rPr>
          <w:rFonts w:ascii="Times New Roman" w:eastAsia="Times New Roman" w:hAnsi="Times New Roman" w:cs="Times New Roman"/>
          <w:color w:val="000000"/>
          <w:spacing w:val="0"/>
          <w:w w:val="100"/>
          <w:position w:val="0"/>
          <w:shd w:val="clear" w:color="auto" w:fill="auto"/>
          <w:lang w:val="en-US" w:eastAsia="en-US" w:bidi="en-US"/>
        </w:rPr>
        <w:t>C. at 350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Later </w:t>
      </w:r>
      <w:r>
        <w:rPr>
          <w:rFonts w:ascii="Times New Roman" w:eastAsia="Times New Roman" w:hAnsi="Times New Roman" w:cs="Times New Roman"/>
          <w:color w:val="000000"/>
          <w:spacing w:val="0"/>
          <w:w w:val="100"/>
          <w:position w:val="0"/>
          <w:shd w:val="clear" w:color="auto" w:fill="auto"/>
          <w:lang w:val="en-US" w:eastAsia="en-US" w:bidi="en-US"/>
        </w:rPr>
        <w:t xml:space="preserve">observers have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employed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balance method </w:t>
      </w:r>
      <w:r>
        <w:rPr>
          <w:rFonts w:ascii="Times New Roman" w:eastAsia="Times New Roman" w:hAnsi="Times New Roman" w:cs="Times New Roman"/>
          <w:color w:val="000000"/>
          <w:spacing w:val="0"/>
          <w:w w:val="100"/>
          <w:position w:val="0"/>
          <w:shd w:val="clear" w:color="auto" w:fill="auto"/>
          <w:lang w:val="en-US" w:eastAsia="en-US" w:bidi="en-US"/>
        </w:rPr>
        <w:t xml:space="preserve">(some modification of the potentiometer </w:t>
      </w:r>
      <w:r>
        <w:rPr>
          <w:rFonts w:ascii="Times New Roman" w:eastAsia="Times New Roman" w:hAnsi="Times New Roman" w:cs="Times New Roman"/>
          <w:color w:val="000000"/>
          <w:spacing w:val="0"/>
          <w:w w:val="100"/>
          <w:position w:val="0"/>
          <w:shd w:val="clear" w:color="auto" w:fill="auto"/>
          <w:lang w:val="en-US" w:eastAsia="en-US" w:bidi="en-US"/>
        </w:rPr>
        <w:t xml:space="preserve">or Poggendorf balance) </w:t>
      </w:r>
      <w:r>
        <w:rPr>
          <w:rFonts w:ascii="Times New Roman" w:eastAsia="Times New Roman" w:hAnsi="Times New Roman" w:cs="Times New Roman"/>
          <w:color w:val="000000"/>
          <w:spacing w:val="0"/>
          <w:w w:val="100"/>
          <w:position w:val="0"/>
          <w:shd w:val="clear" w:color="auto" w:fill="auto"/>
          <w:lang w:val="en-US" w:eastAsia="en-US" w:bidi="en-US"/>
        </w:rPr>
        <w:t xml:space="preserve">lor measuring the E.M.F. The range of </w:t>
      </w:r>
      <w:r>
        <w:rPr>
          <w:rFonts w:ascii="Times New Roman" w:eastAsia="Times New Roman" w:hAnsi="Times New Roman" w:cs="Times New Roman"/>
          <w:color w:val="000000"/>
          <w:spacing w:val="0"/>
          <w:w w:val="100"/>
          <w:position w:val="0"/>
          <w:shd w:val="clear" w:color="auto" w:fill="auto"/>
          <w:lang w:val="en-US" w:eastAsia="en-US" w:bidi="en-US"/>
        </w:rPr>
        <w:t xml:space="preserve">Steele's observations was too </w:t>
      </w:r>
      <w:r>
        <w:rPr>
          <w:rFonts w:ascii="Times New Roman" w:eastAsia="Times New Roman" w:hAnsi="Times New Roman" w:cs="Times New Roman"/>
          <w:color w:val="000000"/>
          <w:spacing w:val="0"/>
          <w:w w:val="100"/>
          <w:position w:val="0"/>
          <w:shd w:val="clear" w:color="auto" w:fill="auto"/>
          <w:lang w:val="en-US" w:eastAsia="en-US" w:bidi="en-US"/>
        </w:rPr>
        <w:t xml:space="preserve">small to. show any certain deviation from the formula, </w:t>
      </w:r>
      <w:r>
        <w:rPr>
          <w:rFonts w:ascii="Times New Roman" w:eastAsia="Times New Roman" w:hAnsi="Times New Roman" w:cs="Times New Roman"/>
          <w:color w:val="000000"/>
          <w:spacing w:val="0"/>
          <w:w w:val="100"/>
          <w:position w:val="0"/>
          <w:shd w:val="clear" w:color="auto" w:fill="auto"/>
          <w:lang w:val="en-US" w:eastAsia="en-US" w:bidi="en-US"/>
        </w:rPr>
        <w:t xml:space="preserve">but he notes </w:t>
      </w:r>
      <w:r>
        <w:rPr>
          <w:rFonts w:ascii="Times New Roman" w:eastAsia="Times New Roman" w:hAnsi="Times New Roman" w:cs="Times New Roman"/>
          <w:color w:val="000000"/>
          <w:spacing w:val="0"/>
          <w:w w:val="100"/>
          <w:position w:val="0"/>
          <w:shd w:val="clear" w:color="auto" w:fill="auto"/>
          <w:lang w:val="en-US" w:eastAsia="en-US" w:bidi="en-US"/>
        </w:rPr>
        <w:t xml:space="preserve">capricious changes attributed to change </w:t>
      </w:r>
      <w:r>
        <w:rPr>
          <w:rFonts w:ascii="Times New Roman" w:eastAsia="Times New Roman" w:hAnsi="Times New Roman" w:cs="Times New Roman"/>
          <w:color w:val="000000"/>
          <w:spacing w:val="0"/>
          <w:w w:val="100"/>
          <w:position w:val="0"/>
          <w:shd w:val="clear" w:color="auto" w:fill="auto"/>
          <w:lang w:val="en-US" w:eastAsia="en-US" w:bidi="en-US"/>
        </w:rPr>
        <w:t>of condition of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wires. Noll employed mercury’ thermometers, but as he worked over a small range with vapour baths, it is probable that he did not experience any trouble from immersion corrections. He docs not record any systematic deviations from the formula. Dewar and Fleming, working at very low temperatures, were compelled to use the platinum thermometer, and expressed their results in terms of the platinum scale. Their observations were probably free from immersion errors, but'they record some deviations from the formula which they consider to be beyond the possible limits of error of their work. The writer has reduced their results to the scale of the gas thermometer, assuming the boiling-point of oxygen to lie -182∙5° C.</w:t>
      </w:r>
    </w:p>
    <w:p>
      <w:pPr>
        <w:pStyle w:val="Style2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Peltier Effect.—</w:t>
      </w:r>
      <w:r>
        <w:rPr>
          <w:color w:val="000000"/>
          <w:spacing w:val="0"/>
          <w:w w:val="100"/>
          <w:position w:val="0"/>
          <w:shd w:val="clear" w:color="auto" w:fill="auto"/>
          <w:lang w:val="en-US" w:eastAsia="en-US" w:bidi="en-US"/>
        </w:rPr>
        <w:t xml:space="preserve">The discovery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 C.</w:t>
      </w:r>
      <w:r>
        <w:rPr>
          <w:color w:val="000000"/>
          <w:spacing w:val="0"/>
          <w:w w:val="100"/>
          <w:position w:val="0"/>
          <w:shd w:val="clear" w:color="auto" w:fill="auto"/>
          <w:lang w:val="en-US" w:eastAsia="en-US" w:bidi="en-US"/>
        </w:rPr>
        <w:t xml:space="preserve"> A. Peltier (1834) that heat is absorbed at the junction of two metals by passing a current through it in the same direction as the current produced by heating it, was recognized by Joule as affording a clue to the source of the energy of the current by the application of the principles of thermodynamics. Unlike the frictional generation of heat due to the resistance of the conductor, which Joule (1841)</w:t>
      </w:r>
    </w:p>
    <w:p>
      <w:pPr>
        <w:pStyle w:val="Style2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proved to be proportional to the square of the current, the Peltier effect is reversible with the current, and being directly' propor</w:t>
        <w:softHyphen/>
        <w:t>tional to the first power of the current, changes sign when the current is reversed. The effect is most easily shown by con</w:t>
        <w:softHyphen/>
        <w:t>necting a voltaic cell to a thermopile for a short interval, then quickly (by means of a suitable key, such as a Pohl commutator with the cross connectors removed) disconnecting the pile from the cell and connecting it to a galvanometer, which will indicate a current in the reverse direction through the pile, and approxi</w:t>
        <w:softHyphen/>
        <w:t xml:space="preserve">mately proportional to the original current in intensity, provided that the other conditions of the experiment are constant. It was by an experiment of this kind that Quintus Icilius (1853) verified the proportionality of the heat absorbed or generated to the first power of the current. It had been observed by Peltier and A. E. Becquerel that the intensity of the effect depended on the thermoelectric power of the junction and was independent of its form or dimensions. The order of the metals in respect of the Peltier effect was found to be the same as the thermoelectric scries. But on account of the difficulty of the measurements involved, the verification of the accurate relation between the Peltier effect and thermoelectric power was left to more recent times.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is the intensity of the current through a simple thermocouple, the junctions of which are at tempera</w:t>
        <w:softHyphen/>
        <w:t xml:space="preserve">tures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 xml:space="preserve"> a quantity of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PXC,</w:t>
      </w:r>
      <w:r>
        <w:rPr>
          <w:color w:val="000000"/>
          <w:spacing w:val="0"/>
          <w:w w:val="100"/>
          <w:position w:val="0"/>
          <w:shd w:val="clear" w:color="auto" w:fill="auto"/>
          <w:lang w:val="en-US" w:eastAsia="en-US" w:bidi="en-US"/>
        </w:rPr>
        <w:t xml:space="preserve"> is absorbed by the passage of the current per second at the hot junction,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color w:val="000000"/>
          <w:spacing w:val="0"/>
          <w:w w:val="100"/>
          <w:position w:val="0"/>
          <w:shd w:val="clear" w:color="auto" w:fill="auto"/>
          <w:lang w:val="en-US" w:eastAsia="en-US" w:bidi="en-US"/>
        </w:rPr>
        <w:t xml:space="preserve"> and a quantity,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is evolved at the cold junction, ∕'. The co</w:t>
        <w:softHyphen/>
        <w:t xml:space="preserve">efficients,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color w:val="000000"/>
          <w:spacing w:val="0"/>
          <w:w w:val="100"/>
          <w:position w:val="0"/>
          <w:shd w:val="clear" w:color="auto" w:fill="auto"/>
          <w:lang w:val="en-US" w:eastAsia="en-US" w:bidi="en-US"/>
        </w:rPr>
        <w:t xml:space="preserve"> are called coefficients of the Peltier effect, and may be stated in calorics or joules per ampere-second. The Peltier coefficient may also be expressed in volts or micro</w:t>
        <w:softHyphen/>
        <w:t>volts, and may be regarded as the measure of an E.M.I'. located</w:t>
      </w:r>
    </w:p>
    <w:p>
      <w:pPr>
        <w:widowControl w:val="0"/>
        <w:spacing w:line="1" w:lineRule="exact"/>
      </w:pPr>
    </w:p>
    <w:sectPr>
      <w:footnotePr>
        <w:pos w:val="pageBottom"/>
        <w:numFmt w:val="decimal"/>
        <w:numRestart w:val="continuous"/>
      </w:footnotePr>
      <w:type w:val="continuous"/>
      <w:pgSz w:w="12240" w:h="15840"/>
      <w:pgMar w:top="864" w:left="1003" w:right="830" w:bottom="7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21">
    <w:name w:val="Body text (6)_"/>
    <w:basedOn w:val="DefaultParagraphFont"/>
    <w:link w:val="Style2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 w:type="paragraph" w:customStyle="1" w:styleId="Style20">
    <w:name w:val="Body text (6)"/>
    <w:basedOn w:val="Normal"/>
    <w:link w:val="CharStyle21"/>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