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himself to efforts for the improvement of his dominions that won for him the title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Bon.</w:t>
      </w:r>
      <w:r>
        <w:rPr>
          <w:rFonts w:ascii="Times New Roman" w:eastAsia="Times New Roman" w:hAnsi="Times New Roman" w:cs="Times New Roman"/>
          <w:color w:val="000000"/>
          <w:spacing w:val="0"/>
          <w:w w:val="100"/>
          <w:position w:val="0"/>
          <w:shd w:val="clear" w:color="auto" w:fill="auto"/>
          <w:lang w:val="en-US" w:eastAsia="en-US" w:bidi="en-US"/>
        </w:rPr>
        <w:t xml:space="preserve"> He died at Pampeluna on the 14th of July 1253.</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the most popular of all the 13th century song</w:t>
        <w:softHyphen/>
        <w:t xml:space="preserve">writers, and his work is marked by a grace and sweetness which he owes perhaps in part to his association with the troubadours of the south. He is said to have set his own songs to music. It seems doubtful whether the notes that have come down to us can with justice be attributed to him, but there is no contesting the musical quality of his verse. His fame spread beyond the Alps, and Dante admired his poetry. He was one of the most celebrated authors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jeux-partis,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elaborate discussions between two inter</w:t>
        <w:softHyphen/>
        <w:t>locutors, usually on the subject of love.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works were edited in 1851 by P. Tarbé in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Chansonniers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Champagne.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THIBAUT,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ANTON FRIEDRICH JUSTUS </w:t>
      </w:r>
      <w:r>
        <w:rPr>
          <w:rFonts w:ascii="Times New Roman" w:eastAsia="Times New Roman" w:hAnsi="Times New Roman" w:cs="Times New Roman"/>
          <w:color w:val="000000"/>
          <w:spacing w:val="0"/>
          <w:w w:val="100"/>
          <w:position w:val="0"/>
          <w:shd w:val="clear" w:color="auto" w:fill="auto"/>
          <w:lang w:val="en-US" w:eastAsia="en-US" w:bidi="en-US"/>
        </w:rPr>
        <w:t xml:space="preserve">(1774-1840), German jurist,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Hameln, </w:t>
      </w:r>
      <w:r>
        <w:rPr>
          <w:rFonts w:ascii="Times New Roman" w:eastAsia="Times New Roman" w:hAnsi="Times New Roman" w:cs="Times New Roman"/>
          <w:color w:val="000000"/>
          <w:spacing w:val="0"/>
          <w:w w:val="100"/>
          <w:position w:val="0"/>
          <w:shd w:val="clear" w:color="auto" w:fill="auto"/>
          <w:lang w:val="en-US" w:eastAsia="en-US" w:bidi="en-US"/>
        </w:rPr>
        <w:t xml:space="preserve">in Hanover, on the 4th of January 1774, the son of an officer in the Hanoverian army, of French Huguenot descent. After passing his school-days in </w:t>
      </w:r>
      <w:r>
        <w:rPr>
          <w:rFonts w:ascii="Times New Roman" w:eastAsia="Times New Roman" w:hAnsi="Times New Roman" w:cs="Times New Roman"/>
          <w:color w:val="000000"/>
          <w:spacing w:val="0"/>
          <w:w w:val="100"/>
          <w:position w:val="0"/>
          <w:shd w:val="clear" w:color="auto" w:fill="auto"/>
          <w:lang w:val="de-DE" w:eastAsia="de-DE" w:bidi="de-DE"/>
        </w:rPr>
        <w:t xml:space="preserve">Hameln </w:t>
      </w:r>
      <w:r>
        <w:rPr>
          <w:rFonts w:ascii="Times New Roman" w:eastAsia="Times New Roman" w:hAnsi="Times New Roman" w:cs="Times New Roman"/>
          <w:color w:val="000000"/>
          <w:spacing w:val="0"/>
          <w:w w:val="100"/>
          <w:position w:val="0"/>
          <w:shd w:val="clear" w:color="auto" w:fill="auto"/>
          <w:lang w:val="en-US" w:eastAsia="en-US" w:bidi="en-US"/>
        </w:rPr>
        <w:t xml:space="preserve">and Hanover, young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 xml:space="preserve">entered the university of Göttingen as a student of jurisprudence, went thence to Königsberg, where he studied under Kant, and afterwards to Kiel, where he was a fellow-student with Niebuhr. Here, after taking his degree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doctor juris,</w:t>
      </w:r>
      <w:r>
        <w:rPr>
          <w:rFonts w:ascii="Times New Roman" w:eastAsia="Times New Roman" w:hAnsi="Times New Roman" w:cs="Times New Roman"/>
          <w:color w:val="000000"/>
          <w:spacing w:val="0"/>
          <w:w w:val="100"/>
          <w:position w:val="0"/>
          <w:shd w:val="clear" w:color="auto" w:fill="auto"/>
          <w:lang w:val="en-US" w:eastAsia="en-US" w:bidi="en-US"/>
        </w:rPr>
        <w:t xml:space="preserve"> he became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Privat- dozent.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1798 he was appointed extraordinary professor of civil law, and in the same year appeared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Versuche über einzelne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Theile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Theorie des Rechts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(1798), a collection of essays on the theory of law, of which by far the most important was entitled </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den Einfluss der Philosophie auf die Auslegung der positiven Gesetze,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wherein he sought to show that history without philosophy could not interpret and explain law. In 1799 was published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Theorie der logischen Auslegung des römischen Rechts,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his most remarkable works. In 1802 he published a short criticism of Feuerbach’s theory of criminal law, which recalls in many, ways the speculations of Bentham. The same year appeared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Über Besitz und Verjährung,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treatise on the law of possession and the limitation of actions. In 1802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 xml:space="preserve">was called to Jena, where he spent three years and wrote, in Schiller’s summer-house, his chief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System des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Pandektenrechts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(1803), which ran into many editions. The fame of this book depends before all else upon the fact that it was the first modern complete compendium of the subject, distinguished alike by the accuracy of its sources and the freedom and unpedantic manner in which the subject is handled. It is, in effect, a codification of the Roman law as it then obtained in Germany, modified by Canon law and the practice of the courts into a comprehensive system of Pandect law. At the invitation of the grand-duke of Baden he went to Heidelberg to fill the chair of civil law and to assist in organizing the university; and he never quitted that town, though he re</w:t>
        <w:softHyphen/>
        <w:t xml:space="preserve">ceived in after years, as his fame grew, invitations to Göttingen, Munich and Leipzig. His class was large, his influence great; and, except Gustav Hugo and Savigny, no civilian of his time was so well known. In 1814 appeared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Civilistische Abhand</w:t>
        <w:softHyphen/>
        <w:t>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principal was his famous essay, the parent of so much literature, on the necessity of a national code for Germany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(vide infra).</w:t>
      </w:r>
      <w:r>
        <w:rPr>
          <w:rFonts w:ascii="Times New Roman" w:eastAsia="Times New Roman" w:hAnsi="Times New Roman" w:cs="Times New Roman"/>
          <w:color w:val="000000"/>
          <w:spacing w:val="0"/>
          <w:w w:val="100"/>
          <w:position w:val="0"/>
          <w:shd w:val="clear" w:color="auto" w:fill="auto"/>
          <w:lang w:val="en-US" w:eastAsia="en-US" w:bidi="en-US"/>
        </w:rPr>
        <w:t xml:space="preserve"> In 1819 he was appointed to the upper house of the newly constituted Baden parliament. He was also made member of the </w:t>
      </w:r>
      <w:r>
        <w:rPr>
          <w:rFonts w:ascii="Times New Roman" w:eastAsia="Times New Roman" w:hAnsi="Times New Roman" w:cs="Times New Roman"/>
          <w:color w:val="000000"/>
          <w:spacing w:val="0"/>
          <w:w w:val="100"/>
          <w:position w:val="0"/>
          <w:shd w:val="clear" w:color="auto" w:fill="auto"/>
          <w:lang w:val="de-DE" w:eastAsia="de-DE" w:bidi="de-DE"/>
        </w:rPr>
        <w:t xml:space="preserve">Scheidungsgericht </w:t>
      </w:r>
      <w:r>
        <w:rPr>
          <w:rFonts w:ascii="Times New Roman" w:eastAsia="Times New Roman" w:hAnsi="Times New Roman" w:cs="Times New Roman"/>
          <w:color w:val="000000"/>
          <w:spacing w:val="0"/>
          <w:w w:val="100"/>
          <w:position w:val="0"/>
          <w:shd w:val="clear" w:color="auto" w:fill="auto"/>
          <w:lang w:val="en-US" w:eastAsia="en-US" w:bidi="en-US"/>
        </w:rPr>
        <w:t xml:space="preserve">(divorce court). In 1836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Erörterungen des römischen Rechts.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his last works was a contribution in 1838 to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Archiv für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civilistische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Praxis,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he was one of the editors (see below).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married, in 1800, a daughter of Professor Ahlers of Kiel. He died after a short illness, at Heidelberg, on the 29th of March 1840.</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z w:val="18"/>
          <w:szCs w:val="18"/>
          <w:shd w:val="clear" w:color="auto" w:fill="auto"/>
          <w:lang w:val="en-US" w:eastAsia="en-US" w:bidi="en-US"/>
        </w:rPr>
        <w:t>a man of strong personality and manly consistent nature, was much more than a jurist: he deserves to be remem</w:t>
        <w:softHyphen/>
        <w:t>bered in the history of music. Palestrina and the early composers of church music were his delight; and in 1824 appeared anony</w:t>
        <w:softHyphen/>
        <w:t xml:space="preserve">mously his work,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Reinheit der Tonkunst,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which he eulogized the old music, and especially that of Palestrina. He was an ardent collector of old compositions, and often sent young men to Italy, at his own expense, to discover interesting musical manuscripts. Among the masters of German prose, too,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z w:val="18"/>
          <w:szCs w:val="18"/>
          <w:shd w:val="clear" w:color="auto" w:fill="auto"/>
          <w:lang w:val="en-US" w:eastAsia="en-US" w:bidi="en-US"/>
        </w:rPr>
        <w:t>holds no mean place. His style is simple and manly, but rich in the happy accidents of expression which come only to true artists.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Most of Thibaut's works have already been mentioned, but his essay on the necessity of a code for Germany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Nothwendigkeit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allegemeinen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bürgerlichen Rechts für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Deutschland),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was inspired by the enthusiasm of the war of Liberation and written in fourteen days, deserves further notice.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z w:val="18"/>
          <w:szCs w:val="18"/>
          <w:shd w:val="clear" w:color="auto" w:fill="auto"/>
          <w:lang w:val="en-US" w:eastAsia="en-US" w:bidi="en-US"/>
        </w:rPr>
        <w:t>himself ex</w:t>
        <w:softHyphen/>
        <w:t xml:space="preserve">plained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Archiv für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civilistische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Praxis,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1838, the origin of this memorable essay. He had realized the change denoted by the march of German soldiers to Paris in 1814, and the happy future opened up for Germany. The system of small states he hoped and believed would continue ; for the big state he considered crushing to the life of the individual and harmful as concentrating the “ warm life ” of the nation in one central point. In his judg</w:t>
        <w:softHyphen/>
        <w:t>ment the only unity practicable and needful for Germany was that of law; and for this he urged all the German governments to labour. The essay was as much a condemnation of the entire state of juris</w:t>
        <w:softHyphen/>
        <w:t xml:space="preserve">prudence as an argument for codification; it was a challenge to civilians to justify their very existence. Savigny took up the challenge thus thrown down; and a long controversy as to points not very clearly defined took place. The glory of the controversy belonged to Savigny ; the real victory rested with </w:t>
      </w:r>
      <w:r>
        <w:rPr>
          <w:rFonts w:ascii="Times New Roman" w:eastAsia="Times New Roman" w:hAnsi="Times New Roman" w:cs="Times New Roman"/>
          <w:color w:val="000000"/>
          <w:spacing w:val="0"/>
          <w:w w:val="100"/>
          <w:position w:val="0"/>
          <w:sz w:val="18"/>
          <w:szCs w:val="18"/>
          <w:shd w:val="clear" w:color="auto" w:fill="auto"/>
          <w:lang w:val="fr-FR" w:eastAsia="fr-FR" w:bidi="fr-FR"/>
        </w:rPr>
        <w:t>Thibaut.</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framers of the new German civil code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(bürgerliches Gesetz</w:t>
        <w:softHyphen/>
        <w:t>buch)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1879 were indebted for the arrangement of their matter in no small degree to Thibaut’s method and clear classification, but beyond this, the code, based on the common law of the several German states, which was adroitly blended by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usus pandectarum </w:t>
      </w:r>
      <w:r>
        <w:rPr>
          <w:rFonts w:ascii="Times New Roman" w:eastAsia="Times New Roman" w:hAnsi="Times New Roman" w:cs="Times New Roman"/>
          <w:color w:val="000000"/>
          <w:spacing w:val="0"/>
          <w:w w:val="100"/>
          <w:position w:val="0"/>
          <w:sz w:val="18"/>
          <w:szCs w:val="18"/>
          <w:shd w:val="clear" w:color="auto" w:fill="auto"/>
          <w:lang w:val="en-US" w:eastAsia="en-US" w:bidi="en-US"/>
        </w:rPr>
        <w:t>into an harmonious whole, docs not reflect his influence. He was one of the earliest to criticize the divisions found in the Institutes, and he carried on with Gustav Hugo a controversy as to these points.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modern German legal literature Thibaut’s influence is not very perceptible. Even at Heidelberg it was quickly superseded by that of his successor, Karl Adolf von Vangerow (1805-1870), and in Germany his works are now little used as text-books. But those best able to judge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have most praised him. Austin, who owed much to him, describes him as one “ who for penetrating acuteness, rectitude of judgment and depth of learning and elo</w:t>
        <w:softHyphen/>
        <w:t>quence of exposition, may be placed by the side of von Savigny, at the head of all living civilians.”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information as to Thibaut's life and work, 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Baum</w:t>
        <w:softHyphen/>
        <w:t xml:space="preserve">stark,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Thibaut,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Blätter der Erinnerung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(1841); Karl Hagemann,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Aus dem Leben II.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F. J. Thibaut,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mit Correspondenz,</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Preuss.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Jahrbücher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(1880); Teichmann,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Holtzendorff'</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 Rechtslexikon;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 Landsberg,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Allgemeine Deutsche Biographie,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 37.</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THIBAW,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Hsipaw,</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w:t>
      </w:r>
      <w:r>
        <w:rPr>
          <w:rFonts w:ascii="Times New Roman" w:eastAsia="Times New Roman" w:hAnsi="Times New Roman" w:cs="Times New Roman"/>
          <w:color w:val="000000"/>
          <w:spacing w:val="0"/>
          <w:w w:val="100"/>
          <w:position w:val="0"/>
          <w:shd w:val="clear" w:color="auto" w:fill="auto"/>
          <w:lang w:val="de-DE" w:eastAsia="de-DE" w:bidi="de-DE"/>
        </w:rPr>
        <w:t xml:space="preserve">Northern </w:t>
      </w:r>
      <w:r>
        <w:rPr>
          <w:rFonts w:ascii="Times New Roman" w:eastAsia="Times New Roman" w:hAnsi="Times New Roman" w:cs="Times New Roman"/>
          <w:color w:val="000000"/>
          <w:spacing w:val="0"/>
          <w:w w:val="100"/>
          <w:position w:val="0"/>
          <w:shd w:val="clear" w:color="auto" w:fill="auto"/>
          <w:lang w:val="en-US" w:eastAsia="en-US" w:bidi="en-US"/>
        </w:rPr>
        <w:t xml:space="preserve">Shan </w:t>
      </w:r>
      <w:r>
        <w:rPr>
          <w:rFonts w:ascii="Times New Roman" w:eastAsia="Times New Roman" w:hAnsi="Times New Roman" w:cs="Times New Roman"/>
          <w:color w:val="000000"/>
          <w:spacing w:val="0"/>
          <w:w w:val="100"/>
          <w:position w:val="0"/>
          <w:shd w:val="clear" w:color="auto" w:fill="auto"/>
          <w:lang w:val="de-DE" w:eastAsia="de-DE" w:bidi="de-DE"/>
        </w:rPr>
        <w:t xml:space="preserve">States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Burma. </w:t>
      </w:r>
      <w:r>
        <w:rPr>
          <w:rFonts w:ascii="Times New Roman" w:eastAsia="Times New Roman" w:hAnsi="Times New Roman" w:cs="Times New Roman"/>
          <w:color w:val="000000"/>
          <w:spacing w:val="0"/>
          <w:w w:val="100"/>
          <w:position w:val="0"/>
          <w:shd w:val="clear" w:color="auto" w:fill="auto"/>
          <w:lang w:val="en-US" w:eastAsia="en-US" w:bidi="en-US"/>
        </w:rPr>
        <w:t>It is called by the Shans, and officially, Hsipaw, and also frequently Ông Pawng (the name of an old capital). It includes four states—Thibaw, the main state, and the sub</w:t>
        <w:softHyphen/>
        <w:t>states of Möug Lông, Möng Tung and Thonzè (or Hsumhsai). The whole state has an area of 5086 sq. m., and the population in 1901 was 104,700. The main state lies on the geological fault which runs east and west across the Shan States, from the Salween at Kuulông and beyond to nearly the rim of the Shan tableland at Gôkteik. It is therefore broken up into a mass of not very well-defined ridges and spurs, crossing and re-enter</w:t>
        <w:softHyphen/>
        <w:t xml:space="preserve">ing. The chief plain land is in the valley of the Nam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 xml:space="preserve">(Myit-ngè), near Thibaw town, and the valley or strath of the Pyawng Kawng, Nawng Ping neighbourhood. Elsewhere the valleys are insignificant. The hills on the Möng Tung border reach their highest elevations in the peaks </w:t>
      </w:r>
      <w:r>
        <w:rPr>
          <w:rFonts w:ascii="Times New Roman" w:eastAsia="Times New Roman" w:hAnsi="Times New Roman" w:cs="Times New Roman"/>
          <w:color w:val="000000"/>
          <w:spacing w:val="0"/>
          <w:w w:val="100"/>
          <w:position w:val="0"/>
          <w:shd w:val="clear" w:color="auto" w:fill="auto"/>
          <w:lang w:val="fr-FR" w:eastAsia="fr-FR" w:bidi="fr-FR"/>
        </w:rPr>
        <w:t xml:space="preserve">Loi </w:t>
      </w:r>
      <w:r>
        <w:rPr>
          <w:rFonts w:ascii="Times New Roman" w:eastAsia="Times New Roman" w:hAnsi="Times New Roman" w:cs="Times New Roman"/>
          <w:color w:val="000000"/>
          <w:spacing w:val="0"/>
          <w:w w:val="100"/>
          <w:position w:val="0"/>
          <w:shd w:val="clear" w:color="auto" w:fill="auto"/>
          <w:lang w:val="en-US" w:eastAsia="en-US" w:bidi="en-US"/>
        </w:rPr>
        <w:t xml:space="preserve">Pan (6848 ft.) and </w:t>
      </w:r>
      <w:r>
        <w:rPr>
          <w:rFonts w:ascii="Times New Roman" w:eastAsia="Times New Roman" w:hAnsi="Times New Roman" w:cs="Times New Roman"/>
          <w:color w:val="000000"/>
          <w:spacing w:val="0"/>
          <w:w w:val="100"/>
          <w:position w:val="0"/>
          <w:shd w:val="clear" w:color="auto" w:fill="auto"/>
          <w:lang w:val="fr-FR" w:eastAsia="fr-FR" w:bidi="fr-FR"/>
        </w:rPr>
        <w:t xml:space="preserve">Loi </w:t>
      </w:r>
      <w:r>
        <w:rPr>
          <w:rFonts w:ascii="Times New Roman" w:eastAsia="Times New Roman" w:hAnsi="Times New Roman" w:cs="Times New Roman"/>
          <w:color w:val="000000"/>
          <w:spacing w:val="0"/>
          <w:w w:val="100"/>
          <w:position w:val="0"/>
          <w:shd w:val="clear" w:color="auto" w:fill="auto"/>
          <w:lang w:val="en-US" w:eastAsia="en-US" w:bidi="en-US"/>
        </w:rPr>
        <w:t xml:space="preserve">Htan (6270 ft.). To the north-west of Thibaw town, on the Tawng Peng border, </w:t>
      </w:r>
      <w:r>
        <w:rPr>
          <w:rFonts w:ascii="Times New Roman" w:eastAsia="Times New Roman" w:hAnsi="Times New Roman" w:cs="Times New Roman"/>
          <w:color w:val="000000"/>
          <w:spacing w:val="0"/>
          <w:w w:val="100"/>
          <w:position w:val="0"/>
          <w:shd w:val="clear" w:color="auto" w:fill="auto"/>
          <w:lang w:val="fr-FR" w:eastAsia="fr-FR" w:bidi="fr-FR"/>
        </w:rPr>
        <w:t xml:space="preserve">Loi </w:t>
      </w:r>
      <w:r>
        <w:rPr>
          <w:rFonts w:ascii="Times New Roman" w:eastAsia="Times New Roman" w:hAnsi="Times New Roman" w:cs="Times New Roman"/>
          <w:color w:val="000000"/>
          <w:spacing w:val="0"/>
          <w:w w:val="100"/>
          <w:position w:val="0"/>
          <w:shd w:val="clear" w:color="auto" w:fill="auto"/>
          <w:lang w:val="en-US" w:eastAsia="en-US" w:bidi="en-US"/>
        </w:rPr>
        <w:t xml:space="preserve">Lam rises to 6486 ft. The valley of the Nam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marks the lowest point in the state at Thibaw town, about 1400 ft., and rises on the east in Möng Tung to a plain level of about 2500 ft., and on the west in Möng Lông to a confused mass of hills with an average height of 4500 ft., broken up by the Nam Yawn and Nam Kaw valleys, which are about 3000 ft. above mean sea-level.</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chief river is the Nam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Myit-ngê, also frequently called by its classical name the Dôktawadi. The main stream rises in the Salween-Irrawaddy watershed, and is enlarged by considerable’ tributaries. At Thibaw town it is 250 yds. wide and about 8 ft. deep, with a fairly strong current. The Nam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navigable only in local stretches, and between Thonzè and Lawksawk (Yatsauk) it flows through a gorge between cliffs 3000 to 4000 ft. high. At the gorge of Hoküt (Ngôkteik) the Nam Htang and the Nam Pasè unite to form the Nam Kiit, which passes into the ground at the natural bridge where the Mandalay-Kunlông railway crosses the gorge, and reappears to join the Nam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Tu.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bed of the Nam Küt is about 1500 ft. below the general level of the country. Coal is found at various places in the state, but is not of very high quality. Salt-wells are worked by the inhabitants of Mawhkio (Bawgyo) about 7 m. from Thibaw town. The average maximum temperature at the beginning of April is about 96°, and the minimum</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