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THISTLE,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name, as generally employed, of vague application, being given to almost any herbaceous plant that is of a spiny character. More strictly, it is applied to the species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Carduus.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are Composite herbs with very spiny leaves, and similar bracts surrounding a head of purplish-white, tubular, five-parted flowers seated on a pitted and hairy receptacle. The anthers have appendages both at the apex and at the base, and the style has a ring of hairs at the point of bifurcation of the two stigmas. The fruit is surmounted by a tuft of silky-white hairs. The species, chiefly natives of Europe and Western Asia, are numerous, and some are of great beauty, though, not unnaturally, looked on with disfavour by the farmer. The blessed thistle 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Carduus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benedictus∙,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Lady’s thistle, the leaves of which are spotted with white,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marianus.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common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lanceolatus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seems to be the most suitable prototype for the Scots thistle. though that honour is also conferred on an allied plant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Onopordon acanlhium,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cotton thistle, remarkable for its covering of white down, a doubtful native, and on other species. The carline thistle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Carlina vulgaris,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member of the same family as is also the sow-thistle,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Sonchus oleraceus.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great objection to thistles from an agricultural point of view resides in the freedom with which they produce seed, and in the vigour of their underground growth, which makes their uprooting a matter of difficulty. Partial uprooting may, indeed, in the case of the perennial species, increase the mischief, for each fragment left behind may grow into a distinct plant. Annual species might be kept in check were they cut down before the flowers appear, but unless all the cultivators in a particular district co-operate the efforts of individuals are of little avail. The Artichoke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Cynara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scolymus,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Cardoon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very near allies of the thistles. The Safflower,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Carthamus,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another thistle, yields a serviceable dye; the Burdock,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Arctium lappa,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member of the same family, has an edible root; and numerous allied species have medicinal properties.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THISTLEWOOD, ARTHUR </w:t>
      </w:r>
      <w:r>
        <w:rPr>
          <w:rFonts w:ascii="Times New Roman" w:eastAsia="Times New Roman" w:hAnsi="Times New Roman" w:cs="Times New Roman"/>
          <w:color w:val="000000"/>
          <w:spacing w:val="0"/>
          <w:w w:val="100"/>
          <w:position w:val="0"/>
          <w:sz w:val="18"/>
          <w:szCs w:val="18"/>
          <w:shd w:val="clear" w:color="auto" w:fill="auto"/>
          <w:lang w:val="en-US" w:eastAsia="en-US" w:bidi="en-US"/>
        </w:rPr>
        <w:t>(1770-1820), the principal insti</w:t>
        <w:softHyphen/>
        <w:t>gator of the Cato Street conspiracy, a plot formed to murder many British ministers in 1820. A son of William Thistlewood, and born at Tupholme in Lincolnshire, young Thistlewood passed his early years in a desultory fashion; he became a soldier and visited France and America, imbibing republican opinions abroad and running into debt at home. Then taking up his residence in London he joined the Spencean Society, a revolu</w:t>
        <w:softHyphen/>
        <w:t>tionary body; associated himself with James Watson (d. 1838) and other agitators; and in December 1816 helped to arrange a meeting in Spa Fields, London, which was to be followed by the seizure of the Tower of London and the Bank of England, and by a general revolution. The proposed rising was a dismal failure, but the Habeas Corpus Act was suspended and Thistle</w:t>
        <w:softHyphen/>
        <w:t xml:space="preserve">wood and Watson were seized, although upon being tried they were acquitted. Becoming more violent Thistlewood formed other plots, talked of murdering the prince of Wales, and was sentenced to a year’s imprisonment for challenging the home secretary, Lord Sidmouth, to a duel. After his release in May 1819, having broken away from Henry Hunt and the more moderate reformers, he prepared a new and comprehensive plot. On the 23rd of February 1820, at a time of great distress and during the unrest caused by the death of George III., the cabinet ministers had arranged to dine at the earl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Harro</w:t>
      </w:r>
      <w:r>
        <w:rPr>
          <w:rFonts w:ascii="Times New Roman" w:eastAsia="Times New Roman" w:hAnsi="Times New Roman" w:cs="Times New Roman"/>
          <w:color w:val="000000"/>
          <w:spacing w:val="0"/>
          <w:w w:val="100"/>
          <w:position w:val="0"/>
          <w:sz w:val="18"/>
          <w:szCs w:val="18"/>
          <w:shd w:val="clear" w:color="auto" w:fill="auto"/>
          <w:lang w:val="en-US" w:eastAsia="en-US" w:bidi="en-US"/>
        </w:rPr>
        <w:t>wby</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house in Grosvenor Square. Thistlewood knew of the dinner. With some associates he hired a room in the neighbouring Cato Street, collected arms and made ready to fall upon Harrowby’s guests. However the authorities had been informed of the plot, probably by one of the conspirators named George Edwards; officers appeared upon the scene and arrested some of the conspirators; and although Thistlewood escaped in the con</w:t>
        <w:softHyphen/>
        <w:t>fusion he was seized on the following day. Tried for high treason, Thistlewood and four others were sentenced to death, and were hanged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May 1820.</w:t>
      </w:r>
    </w:p>
    <w:p>
      <w:pPr>
        <w:pStyle w:val="Style3"/>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Sir S. Walpole,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(1890), vol. i.</w:t>
      </w:r>
    </w:p>
    <w:p>
      <w:pPr>
        <w:pStyle w:val="Style3"/>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THÖKÖLY, IMRE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(Emerich), Prince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(1657-1705), Hungarian statesman, was born at Késmark on the 25th of September 1657. He lost both parents white still a child. In 1670, </w:t>
      </w:r>
      <w:r>
        <w:rPr>
          <w:rFonts w:ascii="Times New Roman" w:eastAsia="Times New Roman" w:hAnsi="Times New Roman" w:cs="Times New Roman"/>
          <w:color w:val="000000"/>
          <w:spacing w:val="0"/>
          <w:w w:val="100"/>
          <w:position w:val="0"/>
          <w:sz w:val="18"/>
          <w:szCs w:val="18"/>
          <w:shd w:val="clear" w:color="auto" w:fill="auto"/>
          <w:lang w:val="en-US" w:eastAsia="en-US" w:bidi="en-US"/>
        </w:rPr>
        <w:t>fleeing from the dangers of Upper Hungary, where the Protes</w:t>
        <w:softHyphen/>
        <w:t>tants and Imperialists were constantly in arms against each other, he took refuge with his kinsman Michael Telcki, the chief minister of Michael Apafy, prince of Transylvania. Here he came into contact with the Magyar refugees, who had great hopes of the high-born, high-gifted youth who was also a fellow sufferer, a large portion of his immense estates having been confiscated by the emperor. The discontent reached its height when Leopold (Feb. 27, 1673) suspended the Hun</w:t>
        <w:softHyphen/>
        <w:t xml:space="preserve">garian constitution, appointed Johan Gaspar Ampringen dictator, deprived 450 Protestant clergy of their livings and condemned 67 more to the galleys. Encouraged by promises of help from Louis XIV., the Magyars now rose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libertate el justitia,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chose the youthful Thököly as their leader. The war began in 1679. Upper Hungary and the mining towns were soon in Thököly’s possession. In 1681, reinforced by 10,000 Transylvanians and a Turkish army under the pasha of Nagyvárad, he compelled the emperor to grant an armistice. On the 15th of June 1682 he married Helen Zrinyi, the widow of Prince Francis Rákóczy I. Thököly’s distrust of the emperor now induced him to turn for help to the sultan, who recognized him as prince of Upper Hungary on condition that he paid an anuual tribute of 40,000 florins. In the course of the same year Thököly captured fortress after fortress from the emperor and extended his dominions to the Waag. He refused, however, the title of king offered to him by the Turks. At the two Diets held by him, at Kassa and Tálya, in 1683, the estates, though not uninfluenced by his personal charm, showed some want of confidence in him, fearing lest he might sacrifice the national independence to the Turkish alliance. They refused therefore to grant him either subsidies 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levée 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he bad to take what he wanted by force. Thököly materially assisted the Turks in the Vienna campaign of 1683, and shared the fate of the gigantic Turkish army. The grand vizier nevertheless laid the blame of the failure on Thököly, who thereupon hastened to Adrianople to defend himself before the sultan. Shortly afterwards, perceiving that the Turkish cause was now lost, he sought the mediation of Sobieski to reconcile him with the emperor, offering to lay down his arms if Leopold would confirm the religious rights of the Magyar Protestants and grant him, Thököly, the thirteen north-eastern counties of Hungary with the title of prince. Leopold refused these terms and demanded an unconditional surrender. Thököly then renewed the war. But the campaign of 1685 was a series of disasters, and when he sought help from the Turks at Nagyvárad they seized and sent him in chains to Belgrade, possibly because of his previous negotiations with Leopold, whereupon most of his followers made their peace with the emperor. In 1686 Thököly was released from his dungeon and sent with a small army into Transylvania, but both this expedition and a similar one in 1688 ended in failure. The Turks then again grew suspicious of him and imprisoned him a second time. In 1690, however, the Turks despatched him into Transylvania a third time with 16,000 men, and in September he routed the united forces of General Heister and Michael Teleki at Zemest. After this great victory Thököly was elected prince of Transylvania by the Kereszténymez Diet, hut could only maintain his position against the imperial armies with the utmost difficulty. In 1691 he quitted Transylvania altogether. He led the Turkish cavalry at the battle of Slankamen, and in fact served valiantly but vainly against Austria during the remainder of the war, especially distinguishing himself at Zenta. He was excluded by name from the amnesty promised to the Hungarian rebels by the peace of Karlowitz (Jan. 26, 1699). After one more unsuccessful attempt, in 1700, to recover his principality, he settled down at Galata with his wife. From the sultan he received large estates and the title of count of Widdin. He was buried in the great Armenian cemetery at Nicomedia, but in the course of 1906 his relics were transferred to Hungary.</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Correspondence of Thököly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(Hung.), ed. by Kálmán Thaly (Budapest, 1896); V. Fraknói,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Papst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Innocenz XI.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Ungarns Befreiung von de Türkenherrschaft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(Freiburg, 1902);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of</w:t>
      </w:r>
    </w:p>
    <w:sectPr>
      <w:footnotePr>
        <w:pos w:val="pageBottom"/>
        <w:numFmt w:val="decimal"/>
        <w:numRestart w:val="continuous"/>
      </w:footnotePr>
      <w:pgSz w:w="12240" w:h="15840"/>
      <w:pgMar w:top="1163" w:left="1084" w:right="104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