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Warsaw, but in 1783 he applied for leave and satisfied his hankering after France by living for four years in Paris. It was in this time that his savings, made during his years of service at Constantinople, by means which would probably not bear investigation, were invested in France. Thugut became acquainted with many of the leaders in the Revolution. From 1787 to 1789 he was minister at Naples, and showed great tact in managing the queen, Maria Carolina, a daughter of Maria Theresa. In 1790 he was sent by the emperor Joseph II. to Bucharest, nominally as commissioner with the hospodar of Wallachia, but in reality in order that he might open negotiations for peace with the Turks. Until 1792 he was much in France and Belgium, partly as a diplomatic agent, but largely because he was anxious to rescue his investments, which were ultimately lost. His personal grievances may have had some share in creating the hatred of the Revolution and the Jacobins, for which he was afterwards famous. In 1792 he was associated with Mercy Argenteau, formerly Austrian ambassador in France, as diplo</w:t>
        <w:softHyphen/>
        <w:t xml:space="preserve">matic agent at the headquarters of the allied army. The mismanagement of the invasion of France excited his anger. He came back to Vienna to report the facts to Francis II., to whom he presented a statement on the 27th of December. On the 19th of January 1793 he was appointed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armée-diplomat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head</w:t>
        <w:softHyphen/>
        <w:t xml:space="preserve">quarters, largely, it is said, by the intrigues of Philip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Cobenzl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Spielmann,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wished to have him out of the way. But he never went, for at this time Russia and Prussia annexed large parts of Poland. Austria, entangled in the war with France, was left empty-handed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Poland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emperor, dis</w:t>
        <w:softHyphen/>
        <w:t>satisfied with the ministers who had not prevented this mis</w:t>
        <w:softHyphen/>
        <w:t xml:space="preserve">fortune, dismissed them, and after some delay Thugut was named “ director of the foreign affairs of Austria ” on the 25th of March 1793. When Prince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Kaunitz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died in the following year Thugut was appointed to “ discharge the duties of the office of house, court, and state chancellor.” His promotion to the foremost place in the Austrian administration met with much opposition, and is known to have been largely due to the empress Maria Theresa of Naples. The Austrian government was by tradition very aristocratic. The empress Maria Theresa, mother of Francis II., though she valued the services of Thugut, had consented with reluctance to make him commander of the order of St Stephen, and had only yielded to the urgent requests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Kaunitz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of her son Joseph II. She thought the promotion excessive for a man of his plebeian origin. The nobles, who thought that the great offices of state should go to themselves, were of the same opinion. Thugut, who had a large fund of vanity, resented their insolence, and did nothing to disarm their hostility. He was unmarried, and he avoided all society. In the discharge of his duties he took counsel with nobody. All the confidential work of his department was done by himself with the help of two clerks he could trust, and he took all important papers directly to the emperor, keeping no copies in his own office. He had his own experience to teach him how easy it was to bribe the officials of Austria. The nobles, who regarded themselves with good cause as the supporters of the Crown, and who expected to be consulted, resented his indifference and secrecy as the arrogance of an upstart. They were his constant enemies and critics. A few of them who admired his abilities supported him on personal grounds, but with these exceptions Thugut had no friends in Austria. Out of it, he was commonly regarded as the representative of all that was most unscrupulous and self-seeking in the methods of the Austrian government. He had inherited from his master Prince </w:t>
      </w:r>
      <w:r>
        <w:rPr>
          <w:rFonts w:ascii="Times New Roman" w:eastAsia="Times New Roman" w:hAnsi="Times New Roman" w:cs="Times New Roman"/>
          <w:color w:val="000000"/>
          <w:spacing w:val="0"/>
          <w:w w:val="100"/>
          <w:position w:val="0"/>
          <w:sz w:val="19"/>
          <w:szCs w:val="19"/>
          <w:shd w:val="clear" w:color="auto" w:fill="auto"/>
          <w:lang w:val="de-DE" w:eastAsia="de-DE" w:bidi="de-DE"/>
        </w:rPr>
        <w:t>Kaunitz the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firm conviction that Prussia was the worst enemy of Austria. From him, too, he had learnt that the first duty of an Austrian minister was to be an increaser of the empire, even at the expense of allies, and that excuses for annexation were to be made when they could not be found. His hatred of France, and of the Revolution, was no doubt sincere. But while prepared to defend Europe from French aggression, it was with the implied intention that Austria should be rewarded for her exertions by increases of territory, and should be made the absolute mistress of Germany. The history of his policy from 1793 to 1800 is the history of Europe. The conflicting objects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he kept before him, resistance to French aggression on the west, and to Russian and Prussian aggressions on the east, and the pursuit of more territory for Austria, compelled him to divide his exertions and his forces. Thus in 1793-94 he recalled troops from the west to participate in a partition of Poland, thereby taking pressure off France, and doing much to smooth the way for her subsequent victories. Some of his actions cannot be described as other than criminal. He was certainly responsible for the murderous attack on the French envoys at Rastadt in April 1799. He may have intended that they should only be robbed, but he must be held responsible for the acts of his agents. So again he has to answer for the perverse policy of Austria in 1799 when Suvarov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Russians were recalled from northern Italy for no visible reason except that Austria should be left in sole possession of the dominions of the king of Sardinia, with a good excuse for keeping them. The correspondence of Joseph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Maistre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shows how bitterly the continental allies of Austria resented her selfishness, and how firmly they were persuaded that she was fighting for her own hand. That Thugut believed that he was doing his duty, and that he was carrying on the traditional policy of Austria, may be true. Yet his methods were so extreme, and his attitude so provocative as to justify the judgment passed on him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Kaunitz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—namely, that he required the control of a strong hand if good results were to be obtained from his ability. After the defeats of Austria in Italy in 1796-97 and the peace of Campo Formio, it became a fixed object with the French, and with a growing party in Austria who held him responsible for the disasters of the war, to secure the removal of Thugut. He found no support, except from the British government, which considered him as a sure ally and had great influence at Vienna as paymaster of subsidies. The death of the empress Catherine of Russia deprived him of a friend at court. During the campaigns of</w:t>
      </w:r>
    </w:p>
    <w:p>
      <w:pPr>
        <w:pStyle w:val="Style3"/>
        <w:keepNext w:val="0"/>
        <w:keepLines w:val="0"/>
        <w:widowControl w:val="0"/>
        <w:shd w:val="clear" w:color="auto" w:fill="auto"/>
        <w:tabs>
          <w:tab w:pos="473" w:val="left"/>
        </w:tabs>
        <w:bidi w:val="0"/>
        <w:spacing w:line="19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1799</w:t>
        <w:tab/>
        <w:t xml:space="preserve">and 1800 Thugut was the advocate of war “ to the knife.” At the end he was kept in office only by the vigorous support of England. The battle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Hohenlinden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3rd of December</w:t>
      </w:r>
    </w:p>
    <w:p>
      <w:pPr>
        <w:pStyle w:val="Style3"/>
        <w:keepNext w:val="0"/>
        <w:keepLines w:val="0"/>
        <w:widowControl w:val="0"/>
        <w:shd w:val="clear" w:color="auto" w:fill="auto"/>
        <w:tabs>
          <w:tab w:pos="487" w:val="left"/>
        </w:tabs>
        <w:bidi w:val="0"/>
        <w:spacing w:line="19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1800</w:t>
        <w:tab/>
        <w:t xml:space="preserve">made his position untenable. He retired from public life, and left Vienna for Pressburg on the 27th of March 1801. At a later period he returned to Vienna and lived quietly on a pension of 7000 florins till his death on the 28th of May 1818. In personal appearance Thugut is described as looking like “ a faunish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Mephistopheles,”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favourite of Louis XI., an Italian tyrant of the worst type, and by the prince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Ligne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what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IV. of France would have been if he had been king of the Jews, and if his mouth had worn a constant expression of deri</w:t>
        <w:softHyphen/>
        <w:t>sion, hate and malignity. The only known portrait of him appears to bear out these unpleasant descriptions.</w:t>
      </w:r>
    </w:p>
    <w:p>
      <w:pPr>
        <w:pStyle w:val="Style3"/>
        <w:keepNext w:val="0"/>
        <w:keepLines w:val="0"/>
        <w:widowControl w:val="0"/>
        <w:shd w:val="clear" w:color="auto" w:fill="auto"/>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A. von Vivenot,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Thugut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und sein politisches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System,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strong defence of his policy in 1793-1794 (Vienna, 1870);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Quellen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deutschen Kaiserpolitik Oesterreichs w</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hrend d. französ. Revolutions-Krieg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(Vienna,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1873-1885).</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THUIN,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Belgium, in that part of the province of Hainaut called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entre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Sambre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9"/>
          <w:szCs w:val="19"/>
          <w:shd w:val="clear" w:color="auto" w:fill="auto"/>
          <w:lang w:val="en-US" w:eastAsia="en-US" w:bidi="en-US"/>
        </w:rPr>
        <w:t>Meuse.” Pop. (1904), 6198. It is situated on the Sambre about 9 m. S.W. of Charleroi. The old part of the town, which dates back to the 10th century, occupies a narrow promontory between the Sambre and a small stream called the Biesmelle. The ruined tower called after him is all that remains of the fortress constructed by Bishop Notger of Li</w:t>
      </w:r>
      <w:r>
        <w:rPr>
          <w:rFonts w:ascii="Times New Roman" w:eastAsia="Times New Roman" w:hAnsi="Times New Roman" w:cs="Times New Roman"/>
          <w:color w:val="000000"/>
          <w:spacing w:val="0"/>
          <w:w w:val="100"/>
          <w:position w:val="0"/>
          <w:sz w:val="19"/>
          <w:szCs w:val="19"/>
          <w:shd w:val="clear" w:color="auto" w:fill="auto"/>
          <w:lang w:val="en-US" w:eastAsia="en-US" w:bidi="en-US"/>
        </w:rPr>
        <w:t>é</w:t>
      </w:r>
      <w:r>
        <w:rPr>
          <w:rFonts w:ascii="Times New Roman" w:eastAsia="Times New Roman" w:hAnsi="Times New Roman" w:cs="Times New Roman"/>
          <w:color w:val="000000"/>
          <w:spacing w:val="0"/>
          <w:w w:val="100"/>
          <w:position w:val="0"/>
          <w:sz w:val="19"/>
          <w:szCs w:val="19"/>
          <w:shd w:val="clear" w:color="auto" w:fill="auto"/>
          <w:lang w:val="en-US" w:eastAsia="en-US" w:bidi="en-US"/>
        </w:rPr>
        <w:t>ge. It was successfully defended against the Normans and long afterwards against the French under Marshal de Lorges in 1654. Although the town itself retains something of its medieval appearance it is the centre of a great manufacturing and mining district, the banks of the Sambre being lined with factories and coal-yards.</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Greek and Roman name for the most northerly known land in the north Atlantic. The first to use the name was the Greek navigator Pytheas (about 300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probably). He calls it the most northerly of the British Isles and says that he reached it after six days’ sail from Britain: it was inhabited, but produced little; com grew there sparingly and ripened ill; in summer the nights were long and bright. This account of his travels is lost save for fragments, and the few surviving fragments</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