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6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Lista,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“East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Fuegia,”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Petermanns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Mitteilungen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(May 1887);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Mission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scientifique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 Cap Horn,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1882-1883 (Paris, 1888); Thomas Bridges, "Notes on Tierra del Fuego,”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Revista del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Museo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ta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Plata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(1892); Otto Nordenskjold, "Ueber die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Natur 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Magellans- länder,"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Peter. Mitt.,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43, 1897;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L’Expédition suédoise à la Terre de Feu</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(1895-1897;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Wiss.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Erg.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schwed.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Exped.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nach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den Maget∙ lansländern, 1895-189</w:t>
      </w:r>
      <w:r>
        <w:rPr>
          <w:rFonts w:ascii="Times New Roman" w:eastAsia="Times New Roman" w:hAnsi="Times New Roman" w:cs="Times New Roman"/>
          <w:i/>
          <w:iCs/>
          <w:smallCaps/>
          <w:color w:val="000000"/>
          <w:spacing w:val="0"/>
          <w:w w:val="100"/>
          <w:position w:val="0"/>
          <w:sz w:val="18"/>
          <w:szCs w:val="18"/>
          <w:shd w:val="clear" w:color="auto" w:fill="auto"/>
          <w:lang w:val="fr-FR" w:eastAsia="fr-FR" w:bidi="fr-FR"/>
        </w:rPr>
        <w:t>7</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(Stockholm,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1898);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Geological Map of the Magellan Territories (Stockholm, 1899); F. Lahille, “Fines de verano en la Tierra del Fuego,”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Revista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Museo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La Plata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(1898), vol viii.; Sir Martin Conway,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Aconcagua and Tierra del Fuego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(London. 1902); R. Dabbenc, “ Via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je </w:t>
      </w:r>
      <w:r>
        <w:rPr>
          <w:rFonts w:ascii="Times New Roman" w:eastAsia="Times New Roman" w:hAnsi="Times New Roman" w:cs="Times New Roman"/>
          <w:color w:val="000000"/>
          <w:spacing w:val="0"/>
          <w:w w:val="100"/>
          <w:position w:val="0"/>
          <w:sz w:val="19"/>
          <w:szCs w:val="19"/>
          <w:shd w:val="clear" w:color="auto" w:fill="auto"/>
          <w:lang w:val="en-US" w:eastAsia="en-US" w:bidi="en-US"/>
        </w:rPr>
        <w:t>á</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la Tierra del Fuego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9"/>
          <w:szCs w:val="19"/>
          <w:shd w:val="clear" w:color="auto" w:fill="auto"/>
          <w:lang w:val="en-US" w:eastAsia="en-US" w:bidi="en-US"/>
        </w:rPr>
        <w:t>á</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la Isla de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los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Estados,"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Bolet.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Inst. Geog. Argentino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(1905), xxi. ; K. Skotts- berg,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Vegetationsbilder aus Feuerland,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&amp;c., parts iii. and iv. in G. Karsten and H. Schenck’s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Vegetationsbilder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(Jena, 1906); R. Crawshay,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Birds of Tierra del Fuego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(London, 1907).</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TIETJENS, </w:t>
      </w: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THÉRÈSE JOHANNE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ALEXANDRA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(1831- 1877), Hungarian soprano vocalist, was born at Hamburg on the 17th of July 1831. Her voice was trained at Hamburg, where she made a successful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début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1849 as Lucrezia Borgia in Donizetti’s opera. Thence she proceeded to Frankfort and Vienna. She sang for the first time in London in 1858, appearing as Valentine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Les Huguenots.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Her success was so great that for the rest of her life she made England her home, and soon gained as brilliant a reputation in concert and oratorio work as she had already won upon the stage. Her voice was a dra</w:t>
        <w:softHyphen/>
        <w:t xml:space="preserve">matic soprano of magnificent quality, and her powers as an actress were supreme. Her most famous parts were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Fidelio, </w:t>
      </w:r>
      <w:r>
        <w:rPr>
          <w:rFonts w:ascii="Times New Roman" w:eastAsia="Times New Roman" w:hAnsi="Times New Roman" w:cs="Times New Roman"/>
          <w:color w:val="000000"/>
          <w:spacing w:val="0"/>
          <w:w w:val="100"/>
          <w:position w:val="0"/>
          <w:sz w:val="19"/>
          <w:szCs w:val="19"/>
          <w:shd w:val="clear" w:color="auto" w:fill="auto"/>
          <w:lang w:val="en-US" w:eastAsia="en-US" w:bidi="en-US"/>
        </w:rPr>
        <w:t>Medea (in Cherubini’s opera) and Donna Anna (in Don Gio</w:t>
        <w:softHyphen/>
        <w:t>vanni). She died in London on the 3rd of October 1877, having endeared herself to the English people as much by her private virtues as by her artistic gifts.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TIFFANY, CHARLES LEWIS </w:t>
      </w:r>
      <w:r>
        <w:rPr>
          <w:rFonts w:ascii="Times New Roman" w:eastAsia="Times New Roman" w:hAnsi="Times New Roman" w:cs="Times New Roman"/>
          <w:color w:val="000000"/>
          <w:spacing w:val="0"/>
          <w:w w:val="100"/>
          <w:position w:val="0"/>
          <w:sz w:val="19"/>
          <w:szCs w:val="19"/>
          <w:shd w:val="clear" w:color="auto" w:fill="auto"/>
          <w:lang w:val="en-US" w:eastAsia="en-US" w:bidi="en-US"/>
        </w:rPr>
        <w:t>(1812-1002), American jeweler, was born at Killingly, Connecticut, on the 15th of February 1812. At fifteen he became a clerk in his father’s store, but removed to New York City in 1837, and with John B. Young opened a fancy goods store. In 1847 the firm began to manu</w:t>
        <w:softHyphen/>
        <w:t>facture gold jewelry, and in 1848, when the political unrest in Europe caused great depreciation in the price of precious stones, Tiffany invested heavily in diamonds, which were sold at a great profit a few years later. The firm became Tiffany, Young &amp; Ellis in 1841 and was reorganized as Tiffany &amp; Company (Mr Young and Mr Ellis retiring) in 1853. In 1851 the firm had established the sterling silver standard of ∙925 fine, sub</w:t>
        <w:softHyphen/>
        <w:t>sequently adopted by other jewelers; and in the same year had founded a branch house in Paris. In 1858 Tiffany bought the unused portion of the Atlantic telegraph cable which he made into cane handles or sold in sections. At the beginning of the Civil War, foreseeing that the jewelry business would suffer, he turned most of his capital to the manufacture of swords, medals and similar war material. In 1868 the com</w:t>
        <w:softHyphen/>
        <w:t>pany was incorporated, and branches were established at London and at Geneva. Tiffany made a speciality of importing historic gems, jewelry and art works, and in 1887 bought some of the crown jewels of France, paying for them about half a million dollars. He was made a chevalier of the Legion of Honour in 1878. He died in New York on the 18th of February 1902.</w:t>
      </w:r>
    </w:p>
    <w:p>
      <w:pPr>
        <w:pStyle w:val="Style3"/>
        <w:keepNext w:val="0"/>
        <w:keepLines w:val="0"/>
        <w:widowControl w:val="0"/>
        <w:shd w:val="clear" w:color="auto" w:fill="auto"/>
        <w:tabs>
          <w:tab w:pos="3410" w:val="left"/>
        </w:tabs>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TIFFANY, LOUIS COMFORT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(1848-</w:t>
        <w:tab/>
        <w:t>), American artist,</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son of Charles L. Tiffany, was born in New York City, on the 18th of February 1848. He was a pupil of George Inness and of Samuel Coleman, New York, and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Léon Bailly,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Paris. He became a member of the Society of American Artists (1877), of the National Academy of Design (1880), of the American Water Color Society, and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Société Nationale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des Beaux Arts, Paris. He travelled extensively in Europe, and painted in oil and water-colour, but subsequently devoted himself to decorative glass work. He became president and art director of the Tiffany Glass and Decorating Co., and produced a “ Favrile ” glass, of unusual beauty of colour.</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TIFFIN,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city and the county-seat of Seneca county, Ohio, U.S.A., on the Sandusky river, about 40 m. S.S.E. of Toledo. Pop. (1900), 10,989, of whom 1168 were foreign-born; (1910 census), 11,894. Tiffin is served by the Baltimore &amp; Ohio, the Cleveland. Cincinnati, Chicago &amp; St Louis and the Pennsylvania </w:t>
      </w:r>
      <w:r>
        <w:rPr>
          <w:rFonts w:ascii="Times New Roman" w:eastAsia="Times New Roman" w:hAnsi="Times New Roman" w:cs="Times New Roman"/>
          <w:color w:val="000000"/>
          <w:spacing w:val="0"/>
          <w:w w:val="100"/>
          <w:position w:val="0"/>
          <w:sz w:val="19"/>
          <w:szCs w:val="19"/>
          <w:shd w:val="clear" w:color="auto" w:fill="auto"/>
          <w:lang w:val="en-US" w:eastAsia="en-US" w:bidi="en-US"/>
        </w:rPr>
        <w:t>railways, and by an electric line to Fostoria, about 12 m. west. It is the scat of an Ursuline College for girls, founded in 1863 and incorporated with power to confer degrees in 1878; and of Heidelberg University (Reformed Church), founded in 1850, incorporated as Heidelberg College in 1851 and rein</w:t>
        <w:softHyphen/>
        <w:t>corporated under its present name in 1890. The Heidelberg Theological Seminary was conducted here from 1850 to 1907, when it was combined with the “ School of Theology ” of Ursinus College, Collegeville, Pennsylvania, to form the Central Theo</w:t>
        <w:softHyphen/>
        <w:t>logical Seminary of the Reformed Church in the United States, which in 1908 was removed to Dayton, Ohio. In Tiffin are the St Francis Home (1869), and the National Orphans’ Home (1897). The city had 87 factories in 1905, of which 54∙2% were owned by individuals, and the value of the factory products was $2,434,502. Tiffin was settled in 1817, incorporated as a town in 1835, and chartered as a city in 1850, when the village of Ft. Ball, on the opposite side of the Sandusky, was consolidated with it. It was named in honour of Edward Tiffin (1766-1829), a native of Carlisle, England, who emigrated to the United States. He graduated at the University of Pennsylvania in 1789, removed in 1796 to Chillicothe, Ohio. where he practised medicine and was a local Methodist preacher. He was speaker of the House of Representatives of the North</w:t>
        <w:softHyphen/>
        <w:t>west Territory in 1799, president (1802) of the convention which framed the first constitution of Ohio, the first governor of the state (1803-1807), a Democratic member of the United States Senate in 1807-1809, first commissioner of the United States General Land Office in 1812-1814, and surveyor-general of public lands north-west of the Ohio River in 1814-1829.</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TIFLIS,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government of Russian Transcaucasia, occupying the eastern portion of the great valley which stretches between the main Caucasus range and the Armenian highlands, from the Meskes Mountains eastward, and extending up into the higher regions on both north and south. The district of Akhaltsikh lies actually on the Armenian highlands. The government is rich in minerals, but only copper is extracted, at Alaverdi and Akhtal; petroleum and other mineral springs are abundant. The government is drained by the Kura and its tributaries (Lyakhva, Aragva, Yora and Alazan), all of whose waters are largely used for irrigation; but in the lower parts of the valley there are extensive waterless steppes, Shirak and Karayaz, on the left bank of the Kura, which are chiefly inhabited by nomad Tatars. The area of the government is 15,601 sq. m. (17,140 with the Zakataly district), and the estimated population in 1906 was 1,081,900. The government is divided into nine districts, the chief towns of which are Tiflis, Akhalkalaki. Akhaltsikh, Dushet, Gori, Signakh and Telav. Agriculture is the principal occupation. Good silk is produced, especially in the region of Kakhetia. Livestock breeding is extensively carried on on the steppes. About one-fourth of the area is under forest. The natives exhibit remarkable skill in the manufacture of leather and metallic goods, felt, woollen stuffs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carpets and shawls) and gold embroidery.</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TIFLIS,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of Russian Caucasia, capital of the govern</w:t>
        <w:softHyphen/>
        <w:t>ment of the same name and of the governor-generalship of Caucasia, picturesquely situated (44</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48' E., 41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42' N.) at the foot of bare high mountains, on both banks of the river Kura, 300 ft. above the Black Sea. It is connected by rail with Poti and Batum (217 m.) on the Black Sea, with Baku on the Caspian Sea (342m.), with Kars (185 m.),and, via Baku and Petrovsk, with the railway system of European Russia, which it joins at Beslan, near Vladikavkaz. Omnibuses also run regularly across the main range to Vladikavkaz, which by this route is only 133 m. distant. The heat in summer is excessive (mean, 73∙4</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 owing to the confined position; but the surrounding hills (1500 to 2400 ft.) shelter the town effectively from the cold winds of winter (mean, 34∙7</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A large square, cathedrals, handsome streets, gardens, bridges, many fine buildings—among them the grand-ducal palace, the opera-house and the museum— European shops, the club or “ circle,” hotels and public offices, are evidence of western civilization. Among the modern public buildings are the Hall of Fame (1885), the Caucasian Museum, a</w:t>
      </w:r>
    </w:p>
    <w:sectPr>
      <w:footnotePr>
        <w:pos w:val="pageBottom"/>
        <w:numFmt w:val="decimal"/>
        <w:numRestart w:val="continuous"/>
      </w:footnotePr>
      <w:pgSz w:w="12240" w:h="15840"/>
      <w:pgMar w:top="1175" w:left="993" w:right="84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