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particularly exposed to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Their inorganic character naturally permitted later generations to bring them up to date, and accretions of this kind may be suspected in I Tim. iii. ι-13,v. 17-20 (22a), vi. 17-21, as well as in Tit. î. 7-9. Other verses, like iii. 11 and v. 23, have all the appearance of misplaced glosses, perhaps from the margin. When vi. 20-21 is thus taken as a later addition, it becomes possible@@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see in the reference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àvTiO'eaevì τηs ψtυδωι&gt;υμoυ yvωσeωs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allusion to Marcion’s well-known volume.</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Attempts have been made by some critics, particularly Hesse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Entstehung 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neutesl.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Hirtenbriefe,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1889: i. </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ι-ίο,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18-20, iv. 1-16, vi. 3-16, 20 seq.) and Knoke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(Prakt. lheol.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Kommentar,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1887, 1889: α = i. 3 seq., 18-20, ii. ι-ιo, iv. 12,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 </w:t>
      </w:r>
      <w:r>
        <w:rPr>
          <w:rFonts w:ascii="Times New Roman" w:eastAsia="Times New Roman" w:hAnsi="Times New Roman" w:cs="Times New Roman"/>
          <w:color w:val="000000"/>
          <w:spacing w:val="0"/>
          <w:w w:val="100"/>
          <w:position w:val="0"/>
          <w:sz w:val="19"/>
          <w:szCs w:val="19"/>
          <w:shd w:val="clear" w:color="auto" w:fill="auto"/>
          <w:lang w:val="en-US" w:eastAsia="en-US" w:bidi="en-US"/>
        </w:rPr>
        <w:t>1-3, 4c-6,</w:t>
      </w:r>
    </w:p>
    <w:p>
      <w:pPr>
        <w:pStyle w:val="Style3"/>
        <w:keepNext w:val="0"/>
        <w:keepLines w:val="0"/>
        <w:widowControl w:val="0"/>
        <w:shd w:val="clear" w:color="auto" w:fill="auto"/>
        <w:tabs>
          <w:tab w:pos="274" w:val="left"/>
        </w:tabs>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11-</w:t>
        <w:tab/>
        <w:t>15, 19-23, 24 seq., written to Timothy from Corinth; &amp; = i.</w:t>
      </w:r>
    </w:p>
    <w:p>
      <w:pPr>
        <w:pStyle w:val="Style3"/>
        <w:keepNext w:val="0"/>
        <w:keepLines w:val="0"/>
        <w:widowControl w:val="0"/>
        <w:shd w:val="clear" w:color="auto" w:fill="auto"/>
        <w:tabs>
          <w:tab w:pos="298" w:val="left"/>
        </w:tabs>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12-</w:t>
        <w:tab/>
        <w:t xml:space="preserve">17, iii. 14-16, iv. ι-ιι, 13-16, ii. 12-15, v. 7 seq., vi. 17-19,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 </w:t>
      </w:r>
      <w:r>
        <w:rPr>
          <w:rFonts w:ascii="Times New Roman" w:eastAsia="Times New Roman" w:hAnsi="Times New Roman" w:cs="Times New Roman"/>
          <w:color w:val="000000"/>
          <w:spacing w:val="0"/>
          <w:w w:val="100"/>
          <w:position w:val="0"/>
          <w:sz w:val="19"/>
          <w:szCs w:val="19"/>
          <w:shd w:val="clear" w:color="auto" w:fill="auto"/>
          <w:lang w:val="en-US" w:eastAsia="en-US" w:bidi="en-US"/>
        </w:rPr>
        <w:t>5-11, vi. 2c-16, 20 seq., written from Caesarea), to disentangle one or more original notes of Paul from the subsequent additions, but the comparative evenness of the style does not favour such analyses.@@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They have more relevance and point in 2 Tim. than in 1 Tim. P. Ewald,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Probabilia betr. d. Text 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(1901), falls back upon the hypothesis of the papyri leaves or sheets having been displaced, and conjectures that i. 12-17 originally lay between i. 2 and i. 3, while iii. 14-iv. 10 has been misplaced from after vi. 2. But his keen criticism of Hesse and Knoke is more successful than his positive explanation of the textual phenomena, and a more thorough-going process of literary criticism is necessary in- order to solve the problems of the epistle. Its irregular character, abrupt connexions and loose transitions@@3 are due to the nature of the subject rather than to any material disarrangement of its paragraphs.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phenomena of style have to be viewed in a broad light. Allowance must be made for the difference of vocabulary produced by change of subject. The evidence of </w:t>
      </w:r>
      <w:r>
        <w:rPr>
          <w:rFonts w:ascii="Times New Roman" w:eastAsia="Times New Roman" w:hAnsi="Times New Roman" w:cs="Times New Roman"/>
          <w:i/>
          <w:iCs/>
          <w:color w:val="000000"/>
          <w:spacing w:val="0"/>
          <w:w w:val="100"/>
          <w:position w:val="0"/>
          <w:shd w:val="clear" w:color="auto" w:fill="auto"/>
          <w:lang w:val="el-GR" w:eastAsia="el-GR" w:bidi="el-GR"/>
        </w:rPr>
        <w:t xml:space="preserve">άπαξ </w:t>
      </w:r>
      <w:r>
        <w:rPr>
          <w:rFonts w:ascii="Times New Roman" w:eastAsia="Times New Roman" w:hAnsi="Times New Roman" w:cs="Times New Roman"/>
          <w:i/>
          <w:iCs/>
          <w:color w:val="000000"/>
          <w:spacing w:val="0"/>
          <w:w w:val="100"/>
          <w:position w:val="0"/>
          <w:shd w:val="clear" w:color="auto" w:fill="auto"/>
          <w:lang w:val="en-US" w:eastAsia="en-US" w:bidi="en-US"/>
        </w:rPr>
        <w:t>dpημtva</w:t>
      </w:r>
      <w:r>
        <w:rPr>
          <w:rFonts w:ascii="Times New Roman" w:eastAsia="Times New Roman" w:hAnsi="Times New Roman" w:cs="Times New Roman"/>
          <w:color w:val="000000"/>
          <w:spacing w:val="0"/>
          <w:w w:val="100"/>
          <w:position w:val="0"/>
          <w:shd w:val="clear" w:color="auto" w:fill="auto"/>
          <w:lang w:val="en-US" w:eastAsia="en-US" w:bidi="en-US"/>
        </w:rPr>
        <w:t xml:space="preserve"> is always to be received with caution and strict scrutiny ; no hard and fast rule must be set up to judge the language of a man like Paul. Yet such considerations do not operate against the literary judgment that the pastorals did not come from Paul’s pen. The words and phrases which are common to the pastorals and the rest of the Pauline epistles are neither so characteristic nor so numerous as those ρecu- liar·to the former, and the data of style may be summed up in the verdict that they point to a writer who, naturally reproducing Paul’s standpoint as far as possible, and acquainted with his epistles, yet betrays the characteristics of his later </w:t>
      </w:r>
      <w:r>
        <w:rPr>
          <w:rFonts w:ascii="Times New Roman" w:eastAsia="Times New Roman" w:hAnsi="Times New Roman" w:cs="Times New Roman"/>
          <w:i/>
          <w:iCs/>
          <w:color w:val="000000"/>
          <w:spacing w:val="0"/>
          <w:w w:val="100"/>
          <w:position w:val="0"/>
          <w:shd w:val="clear" w:color="auto" w:fill="auto"/>
          <w:lang w:val="en-US" w:eastAsia="en-US" w:bidi="en-US"/>
        </w:rPr>
        <w:t>milieu</w:t>
      </w:r>
      <w:r>
        <w:rPr>
          <w:rFonts w:ascii="Times New Roman" w:eastAsia="Times New Roman" w:hAnsi="Times New Roman" w:cs="Times New Roman"/>
          <w:color w:val="000000"/>
          <w:spacing w:val="0"/>
          <w:w w:val="100"/>
          <w:position w:val="0"/>
          <w:shd w:val="clear" w:color="auto" w:fill="auto"/>
          <w:lang w:val="en-US" w:eastAsia="en-US" w:bidi="en-US"/>
        </w:rPr>
        <w:t xml:space="preserve"> in expressions as well as in ideas.@@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Thus, of 174 words which occur in the pastorals alone (of all the New Testament writings), 97 are foreign to the Septuagint and 116 to the rest of the Pauline letters. This proportion of </w:t>
      </w:r>
      <w:r>
        <w:rPr>
          <w:rFonts w:ascii="Times New Roman" w:eastAsia="Times New Roman" w:hAnsi="Times New Roman" w:cs="Times New Roman"/>
          <w:i/>
          <w:iCs/>
          <w:color w:val="000000"/>
          <w:spacing w:val="0"/>
          <w:w w:val="100"/>
          <w:position w:val="0"/>
          <w:shd w:val="clear" w:color="auto" w:fill="auto"/>
          <w:lang w:val="el-GR" w:eastAsia="el-GR" w:bidi="el-GR"/>
        </w:rPr>
        <w:t>άπαξ άιρημ&amp;α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extremely large, when the size of the pastorals is taken into account, and its significance is heightened by the further fact that several of Paul’s characteristic expressions tend to be replaced by others (e.g. </w:t>
      </w:r>
      <w:r>
        <w:rPr>
          <w:rFonts w:ascii="Times New Roman" w:eastAsia="Times New Roman" w:hAnsi="Times New Roman" w:cs="Times New Roman"/>
          <w:i/>
          <w:iCs/>
          <w:color w:val="000000"/>
          <w:spacing w:val="0"/>
          <w:w w:val="100"/>
          <w:position w:val="0"/>
          <w:shd w:val="clear" w:color="auto" w:fill="auto"/>
          <w:lang w:val="en-US" w:eastAsia="en-US" w:bidi="en-US"/>
        </w:rPr>
        <w:t>πepιπaτeiv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στoιχtiv</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i/>
          <w:iCs/>
          <w:color w:val="000000"/>
          <w:spacing w:val="0"/>
          <w:w w:val="100"/>
          <w:position w:val="0"/>
          <w:shd w:val="clear" w:color="auto" w:fill="auto"/>
          <w:lang w:val="el-GR" w:eastAsia="el-GR" w:bidi="el-GR"/>
        </w:rPr>
        <w:t xml:space="preserve">άναστρίφαν, </w:t>
      </w:r>
      <w:r>
        <w:rPr>
          <w:rFonts w:ascii="Times New Roman" w:eastAsia="Times New Roman" w:hAnsi="Times New Roman" w:cs="Times New Roman"/>
          <w:color w:val="000000"/>
          <w:spacing w:val="0"/>
          <w:w w:val="100"/>
          <w:position w:val="0"/>
          <w:shd w:val="clear" w:color="auto" w:fill="auto"/>
          <w:lang w:val="en-US" w:eastAsia="en-US" w:bidi="en-US"/>
        </w:rPr>
        <w:t xml:space="preserve">&amp;c., </w:t>
      </w:r>
      <w:r>
        <w:rPr>
          <w:rFonts w:ascii="Times New Roman" w:eastAsia="Times New Roman" w:hAnsi="Times New Roman" w:cs="Times New Roman"/>
          <w:i/>
          <w:iCs/>
          <w:color w:val="000000"/>
          <w:spacing w:val="0"/>
          <w:w w:val="100"/>
          <w:position w:val="0"/>
          <w:shd w:val="clear" w:color="auto" w:fill="auto"/>
          <w:lang w:val="en-US" w:eastAsia="en-US" w:bidi="en-US"/>
        </w:rPr>
        <w:t>πbpιos</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δeσπbτηs, </w:t>
      </w:r>
      <w:r>
        <w:rPr>
          <w:rFonts w:ascii="Times New Roman" w:eastAsia="Times New Roman" w:hAnsi="Times New Roman" w:cs="Times New Roman"/>
          <w:i/>
          <w:iCs/>
          <w:color w:val="000000"/>
          <w:spacing w:val="0"/>
          <w:w w:val="100"/>
          <w:position w:val="0"/>
          <w:shd w:val="clear" w:color="auto" w:fill="auto"/>
          <w:lang w:val="el-GR" w:eastAsia="el-GR" w:bidi="el-GR"/>
        </w:rPr>
        <w:t>παρουσία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i/>
          <w:iCs/>
          <w:color w:val="000000"/>
          <w:spacing w:val="0"/>
          <w:w w:val="100"/>
          <w:position w:val="0"/>
          <w:shd w:val="clear" w:color="auto" w:fill="auto"/>
          <w:lang w:val="en-US" w:eastAsia="en-US" w:bidi="en-US"/>
        </w:rPr>
        <w:t>ιπιφi.vtia'),</w:t>
      </w:r>
      <w:r>
        <w:rPr>
          <w:rFonts w:ascii="Times New Roman" w:eastAsia="Times New Roman" w:hAnsi="Times New Roman" w:cs="Times New Roman"/>
          <w:color w:val="000000"/>
          <w:spacing w:val="0"/>
          <w:w w:val="100"/>
          <w:position w:val="0"/>
          <w:shd w:val="clear" w:color="auto" w:fill="auto"/>
          <w:lang w:val="en-US" w:eastAsia="en-US" w:bidi="en-US"/>
        </w:rPr>
        <w:t xml:space="preserve"> while a large number of Pauline words are entirely absent (e.g. áäutos,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iheυθepla, κaυχiσθaι, μclζωv, }μικpbs,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μωρία, </w:t>
      </w:r>
      <w:r>
        <w:rPr>
          <w:rFonts w:ascii="Times New Roman" w:eastAsia="Times New Roman" w:hAnsi="Times New Roman" w:cs="Times New Roman"/>
          <w:i/>
          <w:iCs/>
          <w:color w:val="000000"/>
          <w:spacing w:val="0"/>
          <w:w w:val="100"/>
          <w:position w:val="0"/>
          <w:shd w:val="clear" w:color="auto" w:fill="auto"/>
          <w:lang w:val="en-US" w:eastAsia="en-US" w:bidi="en-US"/>
        </w:rPr>
        <w:t xml:space="preserve">πapaδoσcs, πtiθιιv, πtpισσιbιιv, σωμa, </w:t>
      </w:r>
      <w:r>
        <w:rPr>
          <w:rFonts w:ascii="Times New Roman" w:eastAsia="Times New Roman" w:hAnsi="Times New Roman" w:cs="Times New Roman"/>
          <w:color w:val="000000"/>
          <w:spacing w:val="0"/>
          <w:w w:val="100"/>
          <w:position w:val="0"/>
          <w:shd w:val="clear" w:color="auto" w:fill="auto"/>
          <w:lang w:val="en-US" w:eastAsia="en-US" w:bidi="en-US"/>
        </w:rPr>
        <w:t>&amp;c.). Nor is this by any means all. “ Difference in vocabu</w:t>
        <w:softHyphen/>
        <w:t xml:space="preserve">lary may be partially explained (though only partially in this case) by difference of subject-matter and of date; bu. the use of particles is one of the most unfailing of literary tests. The change in the use of particles and the comparative rarity of the definite article form, together with the startling divergence in vocabulary, the chief ground of our perplexity ” </w:t>
      </w:r>
      <w:r>
        <w:rPr>
          <w:rFonts w:ascii="Times New Roman" w:eastAsia="Times New Roman" w:hAnsi="Times New Roman" w:cs="Times New Roman"/>
          <w:i/>
          <w:iCs/>
          <w:color w:val="000000"/>
          <w:spacing w:val="0"/>
          <w:w w:val="100"/>
          <w:position w:val="0"/>
          <w:shd w:val="clear" w:color="auto" w:fill="auto"/>
          <w:lang w:val="en-US" w:eastAsia="en-US" w:bidi="en-US"/>
        </w:rPr>
        <w:t>(Church 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1903, pp. 428 seq.). Pauline particles like </w:t>
      </w:r>
      <w:r>
        <w:rPr>
          <w:rFonts w:ascii="Times New Roman" w:eastAsia="Times New Roman" w:hAnsi="Times New Roman" w:cs="Times New Roman"/>
          <w:i/>
          <w:iCs/>
          <w:color w:val="000000"/>
          <w:spacing w:val="0"/>
          <w:w w:val="100"/>
          <w:position w:val="0"/>
          <w:shd w:val="clear" w:color="auto" w:fill="auto"/>
          <w:lang w:val="en-US" w:eastAsia="en-US" w:bidi="en-US"/>
        </w:rPr>
        <w:t>ápa, δtb, διbτι, tπeιτa, tτι,</w:t>
      </w:r>
      <w:r>
        <w:rPr>
          <w:rFonts w:ascii="Times New Roman" w:eastAsia="Times New Roman" w:hAnsi="Times New Roman" w:cs="Times New Roman"/>
          <w:color w:val="000000"/>
          <w:spacing w:val="0"/>
          <w:w w:val="100"/>
          <w:position w:val="0"/>
          <w:shd w:val="clear" w:color="auto" w:fill="auto"/>
          <w:lang w:val="en-US" w:eastAsia="en-US" w:bidi="en-US"/>
        </w:rPr>
        <w:t xml:space="preserve"> ïäe and </w:t>
      </w:r>
      <w:r>
        <w:rPr>
          <w:rFonts w:ascii="Times New Roman" w:eastAsia="Times New Roman" w:hAnsi="Times New Roman" w:cs="Times New Roman"/>
          <w:i/>
          <w:iCs/>
          <w:color w:val="000000"/>
          <w:spacing w:val="0"/>
          <w:w w:val="100"/>
          <w:position w:val="0"/>
          <w:shd w:val="clear" w:color="auto" w:fill="auto"/>
          <w:lang w:val="en-US" w:eastAsia="en-US" w:bidi="en-US"/>
        </w:rPr>
        <w:t>1δoυ</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disappear; the Pauline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is replaced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by µer </w:t>
      </w:r>
      <w:r>
        <w:rPr>
          <w:rFonts w:ascii="Times New Roman" w:eastAsia="Times New Roman" w:hAnsi="Times New Roman" w:cs="Times New Roman"/>
          <w:i/>
          <w:iCs/>
          <w:color w:val="000000"/>
          <w:spacing w:val="0"/>
          <w:w w:val="100"/>
          <w:position w:val="0"/>
          <w:shd w:val="clear" w:color="auto" w:fill="auto"/>
          <w:lang w:val="fr-FR" w:eastAsia="fr-FR" w:bidi="fr-FR"/>
        </w:rPr>
        <w:t>à</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while prepositions like 4ι∙rι, </w:t>
      </w:r>
      <w:r>
        <w:rPr>
          <w:rFonts w:ascii="Times New Roman" w:eastAsia="Times New Roman" w:hAnsi="Times New Roman" w:cs="Times New Roman"/>
          <w:i/>
          <w:iCs/>
          <w:color w:val="000000"/>
          <w:spacing w:val="0"/>
          <w:w w:val="100"/>
          <w:position w:val="0"/>
          <w:shd w:val="clear" w:color="auto" w:fill="auto"/>
          <w:lang w:val="en-US" w:eastAsia="en-US" w:bidi="en-US"/>
        </w:rPr>
        <w:t>bχpι, lμπρoσf)tv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l-GR" w:eastAsia="el-GR" w:bidi="el-GR"/>
        </w:rPr>
        <w:t>παρά</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(accus.) </w:t>
      </w:r>
      <w:r>
        <w:rPr>
          <w:rFonts w:ascii="Times New Roman" w:eastAsia="Times New Roman" w:hAnsi="Times New Roman" w:cs="Times New Roman"/>
          <w:color w:val="000000"/>
          <w:spacing w:val="0"/>
          <w:w w:val="100"/>
          <w:position w:val="0"/>
          <w:shd w:val="clear" w:color="auto" w:fill="auto"/>
          <w:lang w:val="en-US" w:eastAsia="en-US" w:bidi="en-US"/>
        </w:rPr>
        <w:t xml:space="preserve">drop out entirely. A number of Latinisιns, unexampled in the rest of Paul’s epistles, occur within the pastorals; whole families of new words, especially composite words (often compounded with </w:t>
      </w:r>
      <w:r>
        <w:rPr>
          <w:rFonts w:ascii="Times New Roman" w:eastAsia="Times New Roman" w:hAnsi="Times New Roman" w:cs="Times New Roman"/>
          <w:color w:val="000000"/>
          <w:spacing w:val="0"/>
          <w:w w:val="100"/>
          <w:position w:val="0"/>
          <w:shd w:val="clear" w:color="auto" w:fill="auto"/>
          <w:lang w:val="el-GR" w:eastAsia="el-GR" w:bidi="el-GR"/>
        </w:rPr>
        <w:t>ά</w:t>
      </w:r>
      <w:r>
        <w:rPr>
          <w:rFonts w:ascii="Times New Roman" w:eastAsia="Times New Roman" w:hAnsi="Times New Roman" w:cs="Times New Roman"/>
          <w:color w:val="000000"/>
          <w:spacing w:val="0"/>
          <w:w w:val="100"/>
          <w:position w:val="0"/>
          <w:shd w:val="clear" w:color="auto" w:fill="auto"/>
          <w:lang w:val="en-US" w:eastAsia="en-US" w:bidi="en-US"/>
        </w:rPr>
        <w:t xml:space="preserve">-privative,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θco-, olκo-, </w:t>
      </w:r>
      <w:r>
        <w:rPr>
          <w:rFonts w:ascii="Times New Roman" w:eastAsia="Times New Roman" w:hAnsi="Times New Roman" w:cs="Times New Roman"/>
          <w:color w:val="000000"/>
          <w:spacing w:val="0"/>
          <w:w w:val="100"/>
          <w:position w:val="0"/>
          <w:shd w:val="clear" w:color="auto" w:fill="auto"/>
          <w:lang w:val="en-US" w:eastAsia="en-US" w:bidi="en-US"/>
        </w:rPr>
        <w:t>καλo-,@@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σωφpo, φιλo-),</w:t>
      </w:r>
      <w:r>
        <w:rPr>
          <w:rFonts w:ascii="Times New Roman" w:eastAsia="Times New Roman" w:hAnsi="Times New Roman" w:cs="Times New Roman"/>
          <w:color w:val="000000"/>
          <w:spacing w:val="0"/>
          <w:w w:val="100"/>
          <w:position w:val="0"/>
          <w:shd w:val="clear" w:color="auto" w:fill="auto"/>
          <w:lang w:val="en-US" w:eastAsia="en-US" w:bidi="en-US"/>
        </w:rPr>
        <w:t xml:space="preserve"> emerge with others,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ebσlβaa, πιστbs b </w:t>
      </w:r>
      <w:r>
        <w:rPr>
          <w:rFonts w:ascii="Times New Roman" w:eastAsia="Times New Roman" w:hAnsi="Times New Roman" w:cs="Times New Roman"/>
          <w:color w:val="000000"/>
          <w:spacing w:val="0"/>
          <w:w w:val="100"/>
          <w:position w:val="0"/>
          <w:shd w:val="clear" w:color="auto" w:fill="auto"/>
          <w:lang w:val="en-US" w:eastAsia="en-US" w:bidi="en-US"/>
        </w:rPr>
        <w:t xml:space="preserve">λ⅛γos, &amp;c.; and the very greeting is un-Pauline (l Tim. i. 2; 2 Tim. i. 2). The peculiarities of syntax corroborate the impression made by such features of the vocabulary. There is less flow than in the rest of the Pauline letters; “ the syntax is stiffer and more regular . . . the clauses arc marshalled together, and there is a tendency to parallelism ” (Lightfoot, </w:t>
      </w:r>
      <w:r>
        <w:rPr>
          <w:rFonts w:ascii="Times New Roman" w:eastAsia="Times New Roman" w:hAnsi="Times New Roman" w:cs="Times New Roman"/>
          <w:i/>
          <w:iCs/>
          <w:color w:val="000000"/>
          <w:spacing w:val="0"/>
          <w:w w:val="100"/>
          <w:position w:val="0"/>
          <w:shd w:val="clear" w:color="auto" w:fill="auto"/>
          <w:lang w:val="en-US" w:eastAsia="en-US" w:bidi="en-US"/>
        </w:rPr>
        <w:t>Biblical Essays,</w:t>
      </w:r>
      <w:r>
        <w:rPr>
          <w:rFonts w:ascii="Times New Roman" w:eastAsia="Times New Roman" w:hAnsi="Times New Roman" w:cs="Times New Roman"/>
          <w:color w:val="000000"/>
          <w:spacing w:val="0"/>
          <w:w w:val="100"/>
          <w:position w:val="0"/>
          <w:shd w:val="clear" w:color="auto" w:fill="auto"/>
          <w:lang w:val="en-US" w:eastAsia="en-US" w:bidi="en-US"/>
        </w:rPr>
        <w:t xml:space="preserve"> p. 402). An increase of sententious imperative clauses is also to be noted. Doubtless, some of these features might be set down to Paul’s amanuensis.@@6 But not all of them, more especially when the characteristic concep</w:t>
        <w:softHyphen/>
        <w:t>tions and ideas of the pastorals are taken into account. Nor can it be argued that the characteristics of the pastorals are those of private letters; they are not private, nor even semi-private as they stand; besides, the only private note from Paul’s haud (Philemon) bears no traces of the special diction exhibited in the epistles to Timothy and Titus.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Furthermore, throughout the pastorals, and especially in I Tim., there are traces of a wider acquaintance with Greek literature@@7 than can be detected in the letters of Paul. Affinities to Plutarch (cf. J. Albani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Zeitschrift </w:t>
      </w:r>
      <w:r>
        <w:rPr>
          <w:rFonts w:ascii="Times New Roman" w:eastAsia="Times New Roman" w:hAnsi="Times New Roman" w:cs="Times New Roman"/>
          <w:i/>
          <w:iCs/>
          <w:color w:val="000000"/>
          <w:spacing w:val="0"/>
          <w:w w:val="100"/>
          <w:position w:val="0"/>
          <w:shd w:val="clear" w:color="auto" w:fill="auto"/>
          <w:lang w:val="de-DE" w:eastAsia="de-DE" w:bidi="de-DE"/>
        </w:rPr>
        <w:t xml:space="preserve">für </w:t>
      </w:r>
      <w:r>
        <w:rPr>
          <w:rFonts w:ascii="Times New Roman" w:eastAsia="Times New Roman" w:hAnsi="Times New Roman" w:cs="Times New Roman"/>
          <w:i/>
          <w:iCs/>
          <w:color w:val="000000"/>
          <w:spacing w:val="0"/>
          <w:w w:val="100"/>
          <w:position w:val="0"/>
          <w:shd w:val="clear" w:color="auto" w:fill="auto"/>
          <w:lang w:val="en-US" w:eastAsia="en-US" w:bidi="en-US"/>
        </w:rPr>
        <w:t xml:space="preserve">wiss. </w:t>
      </w:r>
      <w:r>
        <w:rPr>
          <w:rFonts w:ascii="Times New Roman" w:eastAsia="Times New Roman" w:hAnsi="Times New Roman" w:cs="Times New Roman"/>
          <w:i/>
          <w:iCs/>
          <w:color w:val="000000"/>
          <w:spacing w:val="0"/>
          <w:w w:val="100"/>
          <w:position w:val="0"/>
          <w:shd w:val="clear" w:color="auto" w:fill="auto"/>
          <w:lang w:val="de-DE" w:eastAsia="de-DE" w:bidi="de-DE"/>
        </w:rPr>
        <w:t>Theologie,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1902, 40-58) and to 4 as well as to 2 Maccabees are not improbable.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Tim. also gives clearest expression to the author’s ecclesiastical and doctrinal views. The objective sense of </w:t>
      </w:r>
      <w:r>
        <w:rPr>
          <w:rFonts w:ascii="Times New Roman" w:eastAsia="Times New Roman" w:hAnsi="Times New Roman" w:cs="Times New Roman"/>
          <w:i/>
          <w:iCs/>
          <w:color w:val="000000"/>
          <w:spacing w:val="0"/>
          <w:w w:val="100"/>
          <w:position w:val="0"/>
          <w:shd w:val="clear" w:color="auto" w:fill="auto"/>
          <w:lang w:val="en-US" w:eastAsia="en-US" w:bidi="en-US"/>
        </w:rPr>
        <w:t>τiστιs</w:t>
      </w:r>
      <w:r>
        <w:rPr>
          <w:rFonts w:ascii="Times New Roman" w:eastAsia="Times New Roman" w:hAnsi="Times New Roman" w:cs="Times New Roman"/>
          <w:color w:val="000000"/>
          <w:spacing w:val="0"/>
          <w:w w:val="100"/>
          <w:position w:val="0"/>
          <w:shd w:val="clear" w:color="auto" w:fill="auto"/>
          <w:lang w:val="en-US" w:eastAsia="en-US" w:bidi="en-US"/>
        </w:rPr>
        <w:t xml:space="preserve"> has begun to overpower the subjective. Christianity is becoming more and more a “ form of sound words,” a crystallized creed, whose teaching is the vital point. The deep conceptions of Paul, viz. the fatherly love of God, the faith-mysticism of the Christian’s relation to Christ, and the inward witness of the Spirit, fall into the background, while. unusual prominence is assigned to the more tangible and practical tests of Christianity.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all the pastorals, 1 Tim. is furthest from Paul.@@8 The author writes more out of his own mind, evidently with little or no special material to fall back upon. The epistle is not a compilation from the two others (as Schleiermacher thought), but it seems to denote a slightly later stage.@@9 Many critics therefore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De Wette, Mangold, Reuss, Bruckner, </w:t>
      </w:r>
      <w:r>
        <w:rPr>
          <w:rFonts w:ascii="Times New Roman" w:eastAsia="Times New Roman" w:hAnsi="Times New Roman" w:cs="Times New Roman"/>
          <w:color w:val="000000"/>
          <w:spacing w:val="0"/>
          <w:w w:val="100"/>
          <w:position w:val="0"/>
          <w:shd w:val="clear" w:color="auto" w:fill="auto"/>
          <w:lang w:val="de-DE" w:eastAsia="de-DE" w:bidi="de-DE"/>
        </w:rPr>
        <w:t xml:space="preserve">Pfleiderer, </w:t>
      </w:r>
      <w:r>
        <w:rPr>
          <w:rFonts w:ascii="Times New Roman" w:eastAsia="Times New Roman" w:hAnsi="Times New Roman" w:cs="Times New Roman"/>
          <w:color w:val="000000"/>
          <w:spacing w:val="0"/>
          <w:w w:val="100"/>
          <w:position w:val="0"/>
          <w:shd w:val="clear" w:color="auto" w:fill="auto"/>
          <w:lang w:val="en-US" w:eastAsia="en-US" w:bidi="en-US"/>
        </w:rPr>
        <w:t>von Soden,McGiffert, S.David- son, Bourquin, Clemen and Jülicher) conclude that the pastorals were written in this order (2 Tim., Titus, I Tim.). When the epistles were arranged for the canon, it was natural to put 2 Tim. later than the other two, since its setting seemed to imply the close of Paul's career. Its literary priority is confirmed by several resemblances between it and Philippians, the last of Paul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s epistles </w:t>
      </w:r>
      <w:r>
        <w:rPr>
          <w:rFonts w:ascii="Times New Roman" w:eastAsia="Times New Roman" w:hAnsi="Times New Roman" w:cs="Times New Roman"/>
          <w:i/>
          <w:iCs/>
          <w:color w:val="000000"/>
          <w:spacing w:val="0"/>
          <w:w w:val="100"/>
          <w:position w:val="0"/>
          <w:shd w:val="clear" w:color="auto" w:fill="auto"/>
          <w:lang w:val="en-US" w:eastAsia="en-US" w:bidi="en-US"/>
        </w:rPr>
        <w:t>(e.g. avaλvσιs</w:t>
      </w:r>
      <w:r>
        <w:rPr>
          <w:rFonts w:ascii="Times New Roman" w:eastAsia="Times New Roman" w:hAnsi="Times New Roman" w:cs="Times New Roman"/>
          <w:color w:val="000000"/>
          <w:spacing w:val="0"/>
          <w:w w:val="100"/>
          <w:position w:val="0"/>
          <w:shd w:val="clear" w:color="auto" w:fill="auto"/>
          <w:lang w:val="en-US" w:eastAsia="en-US" w:bidi="en-US"/>
        </w:rPr>
        <w:t xml:space="preserve"> iv. 6 = 0Pαλi&gt;ew Phil. i. 23,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σπivbeσθaι </w:t>
      </w:r>
      <w:r>
        <w:rPr>
          <w:rFonts w:ascii="Times New Roman" w:eastAsia="Times New Roman" w:hAnsi="Times New Roman" w:cs="Times New Roman"/>
          <w:color w:val="000000"/>
          <w:spacing w:val="0"/>
          <w:w w:val="100"/>
          <w:position w:val="0"/>
          <w:shd w:val="clear" w:color="auto" w:fill="auto"/>
          <w:lang w:val="en-US" w:eastAsia="en-US" w:bidi="en-US"/>
        </w:rPr>
        <w:t>iv. 6 = Phil. ii. 17).</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The following special monographs on 1 Tim. are noteworthy : Melanchthon’s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Enarratio epist. I. Pauli ad Timotheum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duorum capitum secunda</w:t>
      </w:r>
      <w:r>
        <w:rPr>
          <w:rFonts w:ascii="Times New Roman" w:eastAsia="Times New Roman" w:hAnsi="Times New Roman" w:cs="Times New Roman"/>
          <w:color w:val="000000"/>
          <w:spacing w:val="0"/>
          <w:w w:val="100"/>
          <w:position w:val="0"/>
          <w:shd w:val="clear" w:color="auto" w:fill="auto"/>
          <w:lang w:val="en-US" w:eastAsia="en-US" w:bidi="en-US"/>
        </w:rPr>
        <w:t xml:space="preserve"> (1561), Heshusius, </w:t>
      </w:r>
      <w:r>
        <w:rPr>
          <w:rFonts w:ascii="Times New Roman" w:eastAsia="Times New Roman" w:hAnsi="Times New Roman" w:cs="Times New Roman"/>
          <w:i/>
          <w:iCs/>
          <w:color w:val="000000"/>
          <w:spacing w:val="0"/>
          <w:w w:val="100"/>
          <w:position w:val="0"/>
          <w:shd w:val="clear" w:color="auto" w:fill="auto"/>
          <w:lang w:val="en-US" w:eastAsia="en-US" w:bidi="en-US"/>
        </w:rPr>
        <w:t>Commentarius in priorem epist. Pauli ad Timotheum</w:t>
      </w:r>
      <w:r>
        <w:rPr>
          <w:rFonts w:ascii="Times New Roman" w:eastAsia="Times New Roman" w:hAnsi="Times New Roman" w:cs="Times New Roman"/>
          <w:color w:val="000000"/>
          <w:spacing w:val="0"/>
          <w:w w:val="100"/>
          <w:position w:val="0"/>
          <w:shd w:val="clear" w:color="auto" w:fill="auto"/>
          <w:lang w:val="en-US" w:eastAsia="en-US" w:bidi="en-US"/>
        </w:rPr>
        <w:t xml:space="preserve"> (1582), Gerhard, </w:t>
      </w:r>
      <w:r>
        <w:rPr>
          <w:rFonts w:ascii="Times New Roman" w:eastAsia="Times New Roman" w:hAnsi="Times New Roman" w:cs="Times New Roman"/>
          <w:i/>
          <w:iCs/>
          <w:color w:val="000000"/>
          <w:spacing w:val="0"/>
          <w:w w:val="100"/>
          <w:position w:val="0"/>
          <w:shd w:val="clear" w:color="auto" w:fill="auto"/>
          <w:lang w:val="en-US" w:eastAsia="en-US" w:bidi="en-US"/>
        </w:rPr>
        <w:t>Annotationes ad I. Pauli ad Tim. epistolam</w:t>
      </w:r>
      <w:r>
        <w:rPr>
          <w:rFonts w:ascii="Times New Roman" w:eastAsia="Times New Roman" w:hAnsi="Times New Roman" w:cs="Times New Roman"/>
          <w:color w:val="000000"/>
          <w:spacing w:val="0"/>
          <w:w w:val="100"/>
          <w:position w:val="0"/>
          <w:shd w:val="clear" w:color="auto" w:fill="auto"/>
          <w:lang w:val="en-US" w:eastAsia="en-US" w:bidi="en-US"/>
        </w:rPr>
        <w:t xml:space="preserve"> (1643) and Μ.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E. Leo, </w:t>
      </w:r>
      <w:r>
        <w:rPr>
          <w:rFonts w:ascii="Times New Roman" w:eastAsia="Times New Roman" w:hAnsi="Times New Roman" w:cs="Times New Roman"/>
          <w:i/>
          <w:iCs/>
          <w:color w:val="000000"/>
          <w:spacing w:val="0"/>
          <w:w w:val="100"/>
          <w:position w:val="0"/>
          <w:shd w:val="clear" w:color="auto" w:fill="auto"/>
          <w:lang w:val="en-US" w:eastAsia="en-US" w:bidi="en-US"/>
        </w:rPr>
        <w:t>Pauli epistola I. ad Tim. cum perpetuo commentario</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1837; full and exact). More modern essays are published by</w:t>
      </w:r>
      <w:r>
        <w:rPr>
          <w:rFonts w:ascii="Times New Roman" w:eastAsia="Times New Roman" w:hAnsi="Times New Roman" w:cs="Times New Roman"/>
          <w:color w:val="000000"/>
          <w:spacing w:val="0"/>
          <w:w w:val="100"/>
          <w:position w:val="0"/>
          <w:shd w:val="clear" w:color="auto" w:fill="auto"/>
          <w:lang w:val="de-DE" w:eastAsia="de-DE" w:bidi="de-DE"/>
        </w:rPr>
        <w:t xml:space="preserve">-Kölling,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Brief Paulus an Tim. </w:t>
      </w:r>
      <w:r>
        <w:rPr>
          <w:rFonts w:ascii="Times New Roman" w:eastAsia="Times New Roman" w:hAnsi="Times New Roman" w:cs="Times New Roman"/>
          <w:i/>
          <w:iCs/>
          <w:color w:val="000000"/>
          <w:spacing w:val="0"/>
          <w:w w:val="100"/>
          <w:position w:val="0"/>
          <w:shd w:val="clear" w:color="auto" w:fill="auto"/>
          <w:lang w:val="de-DE" w:eastAsia="de-DE" w:bidi="de-DE"/>
        </w:rPr>
        <w:t>aufs neue untersucht und ausgelegt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(1882 </w:t>
      </w:r>
      <w:r>
        <w:rPr>
          <w:rFonts w:ascii="Times New Roman" w:eastAsia="Times New Roman" w:hAnsi="Times New Roman" w:cs="Times New Roman"/>
          <w:color w:val="000000"/>
          <w:spacing w:val="0"/>
          <w:w w:val="100"/>
          <w:position w:val="0"/>
          <w:shd w:val="clear" w:color="auto" w:fill="auto"/>
          <w:lang w:val="de-DE" w:eastAsia="de-DE" w:bidi="de-DE"/>
        </w:rPr>
        <w:t xml:space="preserve">seq.) </w:t>
      </w:r>
      <w:r>
        <w:rPr>
          <w:rFonts w:ascii="Times New Roman" w:eastAsia="Times New Roman" w:hAnsi="Times New Roman" w:cs="Times New Roman"/>
          <w:color w:val="000000"/>
          <w:spacing w:val="0"/>
          <w:w w:val="100"/>
          <w:position w:val="0"/>
          <w:shd w:val="clear" w:color="auto" w:fill="auto"/>
          <w:lang w:val="en-US" w:eastAsia="en-US" w:bidi="en-US"/>
        </w:rPr>
        <w:t>and, from a conser</w:t>
        <w:softHyphen/>
        <w:t xml:space="preserve">vative standpoint, by Liddon (1897). Two other essays appeared in the early part of last century, by Beckhaus,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Specimen observationum de verbis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άπαξ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eγbμ.et rarioribus dicendi formtdis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prima </w:t>
      </w:r>
      <w:r>
        <w:rPr>
          <w:rFonts w:ascii="Times New Roman" w:eastAsia="Times New Roman" w:hAnsi="Times New Roman" w:cs="Times New Roman"/>
          <w:i/>
          <w:iCs/>
          <w:color w:val="000000"/>
          <w:spacing w:val="0"/>
          <w:w w:val="100"/>
          <w:position w:val="0"/>
          <w:shd w:val="clear" w:color="auto" w:fill="auto"/>
          <w:lang w:val="en-US" w:eastAsia="en-US" w:bidi="en-US"/>
        </w:rPr>
        <w:t>ad Tim. epistola Paulina obviis</w:t>
      </w:r>
      <w:r>
        <w:rPr>
          <w:rFonts w:ascii="Times New Roman" w:eastAsia="Times New Roman" w:hAnsi="Times New Roman" w:cs="Times New Roman"/>
          <w:color w:val="000000"/>
          <w:spacing w:val="0"/>
          <w:w w:val="100"/>
          <w:position w:val="0"/>
          <w:shd w:val="clear" w:color="auto" w:fill="auto"/>
          <w:lang w:val="en-US" w:eastAsia="en-US" w:bidi="en-US"/>
        </w:rPr>
        <w:t xml:space="preserve"> (1810) and A. Curtins, </w:t>
      </w:r>
      <w:r>
        <w:rPr>
          <w:rFonts w:ascii="Times New Roman" w:eastAsia="Times New Roman" w:hAnsi="Times New Roman" w:cs="Times New Roman"/>
          <w:i/>
          <w:iCs/>
          <w:color w:val="000000"/>
          <w:spacing w:val="0"/>
          <w:w w:val="100"/>
          <w:position w:val="0"/>
          <w:shd w:val="clear" w:color="auto" w:fill="auto"/>
          <w:lang w:val="en-US" w:eastAsia="en-US" w:bidi="en-US"/>
        </w:rPr>
        <w:t>De tempore quo prior epist. Tim. exarata sit</w:t>
      </w:r>
      <w:r>
        <w:rPr>
          <w:rFonts w:ascii="Times New Roman" w:eastAsia="Times New Roman" w:hAnsi="Times New Roman" w:cs="Times New Roman"/>
          <w:color w:val="000000"/>
          <w:spacing w:val="0"/>
          <w:w w:val="100"/>
          <w:position w:val="0"/>
          <w:shd w:val="clear" w:color="auto" w:fill="auto"/>
          <w:lang w:val="en-US" w:eastAsia="en-US" w:bidi="en-US"/>
        </w:rPr>
        <w:t xml:space="preserve"> (1828). In the difficult passage (v. 18), both quotations seem to be ranked as from ⅛ </w:t>
      </w:r>
      <w:r>
        <w:rPr>
          <w:rFonts w:ascii="Times New Roman" w:eastAsia="Times New Roman" w:hAnsi="Times New Roman" w:cs="Times New Roman"/>
          <w:i/>
          <w:iCs/>
          <w:color w:val="000000"/>
          <w:spacing w:val="0"/>
          <w:w w:val="100"/>
          <w:position w:val="0"/>
          <w:shd w:val="clear" w:color="auto" w:fill="auto"/>
          <w:lang w:val="el-GR" w:eastAsia="el-GR" w:bidi="el-GR"/>
        </w:rPr>
        <w:t>-γραφή,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case the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When the literary integrity of the epistle is maintained this allusion naturally drops to the ground, since the use of the epistle by Polycarp rules the earlier conjectures of Baur and others (who nade the pastorals anti-Marcionite) out of court; besides, passages like i. 7 (Titus i. 10, 14) would not apply to the Marcionites. Dr </w:t>
      </w:r>
      <w:r>
        <w:rPr>
          <w:rFonts w:ascii="Times New Roman" w:eastAsia="Times New Roman" w:hAnsi="Times New Roman" w:cs="Times New Roman"/>
          <w:color w:val="000000"/>
          <w:spacing w:val="0"/>
          <w:w w:val="100"/>
          <w:position w:val="0"/>
          <w:shd w:val="clear" w:color="auto" w:fill="auto"/>
          <w:lang w:val="de-DE" w:eastAsia="de-DE" w:bidi="de-DE"/>
        </w:rPr>
        <w:t xml:space="preserve">Hort </w:t>
      </w:r>
      <w:r>
        <w:rPr>
          <w:rFonts w:ascii="Times New Roman" w:eastAsia="Times New Roman" w:hAnsi="Times New Roman" w:cs="Times New Roman"/>
          <w:i/>
          <w:iCs/>
          <w:color w:val="000000"/>
          <w:spacing w:val="0"/>
          <w:w w:val="100"/>
          <w:position w:val="0"/>
          <w:shd w:val="clear" w:color="auto" w:fill="auto"/>
          <w:lang w:val="en-US" w:eastAsia="en-US" w:bidi="en-US"/>
        </w:rPr>
        <w:t>(Judaistic Christianity,</w:t>
      </w:r>
      <w:r>
        <w:rPr>
          <w:rFonts w:ascii="Times New Roman" w:eastAsia="Times New Roman" w:hAnsi="Times New Roman" w:cs="Times New Roman"/>
          <w:color w:val="000000"/>
          <w:spacing w:val="0"/>
          <w:w w:val="100"/>
          <w:position w:val="0"/>
          <w:shd w:val="clear" w:color="auto" w:fill="auto"/>
          <w:lang w:val="en-US" w:eastAsia="en-US" w:bidi="en-US"/>
        </w:rPr>
        <w:t xml:space="preserve"> pp. 113 seq.) prefers to group both the false 7rωσιs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Rom. ii. 20) and the </w:t>
      </w:r>
      <w:r>
        <w:rPr>
          <w:rFonts w:ascii="Times New Roman" w:eastAsia="Times New Roman" w:hAnsi="Times New Roman" w:cs="Times New Roman"/>
          <w:i/>
          <w:iCs/>
          <w:color w:val="000000"/>
          <w:spacing w:val="0"/>
          <w:w w:val="100"/>
          <w:position w:val="0"/>
          <w:shd w:val="clear" w:color="auto" w:fill="auto"/>
          <w:lang w:val="en-US" w:eastAsia="en-US" w:bidi="en-US"/>
        </w:rPr>
        <w:t>ivτ</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βlσtιs</w:t>
      </w:r>
      <w:r>
        <w:rPr>
          <w:rFonts w:ascii="Times New Roman" w:eastAsia="Times New Roman" w:hAnsi="Times New Roman" w:cs="Times New Roman"/>
          <w:color w:val="000000"/>
          <w:spacing w:val="0"/>
          <w:w w:val="100"/>
          <w:position w:val="0"/>
          <w:shd w:val="clear" w:color="auto" w:fill="auto"/>
          <w:lang w:val="en-US" w:eastAsia="en-US" w:bidi="en-US"/>
        </w:rPr>
        <w:t xml:space="preserve"> as Jewish casuistical decisions, the </w:t>
      </w:r>
      <w:r>
        <w:rPr>
          <w:rFonts w:ascii="Times New Roman" w:eastAsia="Times New Roman" w:hAnsi="Times New Roman" w:cs="Times New Roman"/>
          <w:i/>
          <w:iCs/>
          <w:color w:val="000000"/>
          <w:spacing w:val="0"/>
          <w:w w:val="100"/>
          <w:position w:val="0"/>
          <w:shd w:val="clear" w:color="auto" w:fill="auto"/>
          <w:lang w:val="en-US" w:eastAsia="en-US" w:bidi="en-US"/>
        </w:rPr>
        <w:t>yevtaKoyíai</w:t>
      </w:r>
      <w:r>
        <w:rPr>
          <w:rFonts w:ascii="Times New Roman" w:eastAsia="Times New Roman" w:hAnsi="Times New Roman" w:cs="Times New Roman"/>
          <w:color w:val="000000"/>
          <w:spacing w:val="0"/>
          <w:w w:val="100"/>
          <w:position w:val="0"/>
          <w:shd w:val="clear" w:color="auto" w:fill="auto"/>
          <w:lang w:val="en-US" w:eastAsia="en-US" w:bidi="en-US"/>
        </w:rPr>
        <w:t xml:space="preserve"> of i. 4 and Tit.' iii. 9 being the legendary pedigrees of Jewish heroes, such as are prominent in Philo and the Book of Jubilees. Cf. Wohlenberg, pp. 30-36, and on the other side Klöpper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Zeits. </w:t>
      </w:r>
      <w:r>
        <w:rPr>
          <w:rFonts w:ascii="Times New Roman" w:eastAsia="Times New Roman" w:hAnsi="Times New Roman" w:cs="Times New Roman"/>
          <w:i/>
          <w:iCs/>
          <w:color w:val="000000"/>
          <w:spacing w:val="0"/>
          <w:w w:val="100"/>
          <w:position w:val="0"/>
          <w:shd w:val="clear" w:color="auto" w:fill="auto"/>
          <w:lang w:val="de-DE" w:eastAsia="de-DE" w:bidi="de-DE"/>
        </w:rPr>
        <w:t xml:space="preserve">für </w:t>
      </w:r>
      <w:r>
        <w:rPr>
          <w:rFonts w:ascii="Times New Roman" w:eastAsia="Times New Roman" w:hAnsi="Times New Roman" w:cs="Times New Roman"/>
          <w:i/>
          <w:iCs/>
          <w:color w:val="000000"/>
          <w:spacing w:val="0"/>
          <w:w w:val="100"/>
          <w:position w:val="0"/>
          <w:shd w:val="clear" w:color="auto" w:fill="auto"/>
          <w:lang w:val="en-US" w:eastAsia="en-US" w:bidi="en-US"/>
        </w:rPr>
        <w:t xml:space="preserve">wiss. </w:t>
      </w:r>
      <w:r>
        <w:rPr>
          <w:rFonts w:ascii="Times New Roman" w:eastAsia="Times New Roman" w:hAnsi="Times New Roman" w:cs="Times New Roman"/>
          <w:i/>
          <w:iCs/>
          <w:color w:val="000000"/>
          <w:spacing w:val="0"/>
          <w:w w:val="100"/>
          <w:position w:val="0"/>
          <w:shd w:val="clear" w:color="auto" w:fill="auto"/>
          <w:lang w:val="de-DE" w:eastAsia="de-DE" w:bidi="de-DE"/>
        </w:rPr>
        <w:t>Theologie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(1902), pp. 339 seq.</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Hesse’s, in particular, is shipwrecked on the assumption that the Ignatian epistles must be dated under Marcus Aurelius.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Thus iι. 11-15 seems almost like a gloss (Hesse, Knoke), iv. 1-8 parts easily from its context, and the </w:t>
      </w:r>
      <w:r>
        <w:rPr>
          <w:rFonts w:ascii="Times New Roman" w:eastAsia="Times New Roman" w:hAnsi="Times New Roman" w:cs="Times New Roman"/>
          <w:i/>
          <w:iCs/>
          <w:color w:val="000000"/>
          <w:spacing w:val="0"/>
          <w:w w:val="100"/>
          <w:position w:val="0"/>
          <w:shd w:val="clear" w:color="auto" w:fill="auto"/>
          <w:lang w:val="en-US" w:eastAsia="en-US" w:bidi="en-US"/>
        </w:rPr>
        <w:t>oυr</w:t>
      </w:r>
      <w:r>
        <w:rPr>
          <w:rFonts w:ascii="Times New Roman" w:eastAsia="Times New Roman" w:hAnsi="Times New Roman" w:cs="Times New Roman"/>
          <w:color w:val="000000"/>
          <w:spacing w:val="0"/>
          <w:w w:val="100"/>
          <w:position w:val="0"/>
          <w:shd w:val="clear" w:color="auto" w:fill="auto"/>
          <w:lang w:val="en-US" w:eastAsia="en-US" w:bidi="en-US"/>
        </w:rPr>
        <w:t xml:space="preserve"> of ii. 1 indicates a very loose relationship to the preceding paragraphs.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So the philologist T. Nägeli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Wortschatz des Apostels Paulus,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85 seq∙), whose opinion is </w:t>
      </w:r>
      <w:r>
        <w:rPr>
          <w:rFonts w:ascii="Times New Roman" w:eastAsia="Times New Roman" w:hAnsi="Times New Roman" w:cs="Times New Roman"/>
          <w:color w:val="000000"/>
          <w:spacing w:val="0"/>
          <w:w w:val="100"/>
          <w:position w:val="0"/>
          <w:shd w:val="clear" w:color="auto" w:fill="auto"/>
          <w:lang w:val="de-DE" w:eastAsia="de-DE" w:bidi="de-DE"/>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the more significant on this point that he refuses to admit any linguistic features adverse to the Pauline authorship of the other epistles.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Kαλ&lt;⅛, which Paul neveruses as an attribute, is mainly employed in this way by the author. On </w:t>
      </w:r>
      <w:r>
        <w:rPr>
          <w:rFonts w:ascii="Times New Roman" w:eastAsia="Times New Roman" w:hAnsi="Times New Roman" w:cs="Times New Roman"/>
          <w:i/>
          <w:iCs/>
          <w:color w:val="000000"/>
          <w:spacing w:val="0"/>
          <w:w w:val="100"/>
          <w:position w:val="0"/>
          <w:shd w:val="clear" w:color="auto" w:fill="auto"/>
          <w:lang w:val="el-GR" w:eastAsia="el-GR" w:bidi="el-GR"/>
        </w:rPr>
        <w:t>σωτήρ</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applied to God, cf. Wagner in </w:t>
      </w:r>
      <w:r>
        <w:rPr>
          <w:rFonts w:ascii="Times New Roman" w:eastAsia="Times New Roman" w:hAnsi="Times New Roman" w:cs="Times New Roman"/>
          <w:i/>
          <w:iCs/>
          <w:color w:val="000000"/>
          <w:spacing w:val="0"/>
          <w:w w:val="100"/>
          <w:position w:val="0"/>
          <w:shd w:val="clear" w:color="auto" w:fill="auto"/>
          <w:lang w:val="en-US" w:eastAsia="en-US" w:bidi="en-US"/>
        </w:rPr>
        <w:t>Zeits. f. neut.</w:t>
      </w:r>
      <w:r>
        <w:rPr>
          <w:rFonts w:ascii="Times New Roman" w:eastAsia="Times New Roman" w:hAnsi="Times New Roman" w:cs="Times New Roman"/>
          <w:color w:val="000000"/>
          <w:spacing w:val="0"/>
          <w:w w:val="100"/>
          <w:position w:val="0"/>
          <w:shd w:val="clear" w:color="auto" w:fill="auto"/>
          <w:lang w:val="en-US" w:eastAsia="en-US" w:bidi="en-US"/>
        </w:rPr>
        <w:t xml:space="preserve"> Bτss. (1905), pp. 221 seq.</w:t>
      </w:r>
    </w:p>
    <w:p>
      <w:pPr>
        <w:pStyle w:val="Style3"/>
        <w:keepNext w:val="0"/>
        <w:keepLines w:val="0"/>
        <w:widowControl w:val="0"/>
        <w:shd w:val="clear" w:color="auto" w:fill="auto"/>
        <w:tabs>
          <w:tab w:pos="26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w:t>
        <w:tab/>
        <w:t xml:space="preserve">The so-called “ Lucan ” features (cf. Holtzmann, pp.92 seq., and Von Soden in </w:t>
      </w:r>
      <w:r>
        <w:rPr>
          <w:rFonts w:ascii="Times New Roman" w:eastAsia="Times New Roman" w:hAnsi="Times New Roman" w:cs="Times New Roman"/>
          <w:i/>
          <w:iCs/>
          <w:color w:val="000000"/>
          <w:spacing w:val="0"/>
          <w:w w:val="100"/>
          <w:position w:val="0"/>
          <w:shd w:val="clear" w:color="auto" w:fill="auto"/>
          <w:lang w:val="de-DE" w:eastAsia="de-DE" w:bidi="de-DE"/>
        </w:rPr>
        <w:t>Theologische Abhandlungen,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1892, pp. 133-135) have suggested that Luke may have been the amanuensis (cf. 2 Tim. iv, 11), or even the author of the pastorals.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@@@7 E.ξ.</w:t>
      </w:r>
      <w:r>
        <w:rPr>
          <w:rFonts w:ascii="Times New Roman" w:eastAsia="Times New Roman" w:hAnsi="Times New Roman" w:cs="Times New Roman"/>
          <w:color w:val="000000"/>
          <w:spacing w:val="0"/>
          <w:w w:val="100"/>
          <w:position w:val="0"/>
          <w:shd w:val="clear" w:color="auto" w:fill="auto"/>
          <w:lang w:val="en-US" w:eastAsia="en-US" w:bidi="en-US"/>
        </w:rPr>
        <w:t xml:space="preserve"> Tit. </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II (cf.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hd w:val="clear" w:color="auto" w:fill="auto"/>
          <w:lang w:val="en-US" w:eastAsia="en-US" w:bidi="en-US"/>
        </w:rPr>
        <w:t>Moral.</w:t>
      </w:r>
      <w:r>
        <w:rPr>
          <w:rFonts w:ascii="Times New Roman" w:eastAsia="Times New Roman" w:hAnsi="Times New Roman" w:cs="Times New Roman"/>
          <w:color w:val="000000"/>
          <w:spacing w:val="0"/>
          <w:w w:val="100"/>
          <w:position w:val="0"/>
          <w:shd w:val="clear" w:color="auto" w:fill="auto"/>
          <w:lang w:val="en-US" w:eastAsia="en-US" w:bidi="en-US"/>
        </w:rPr>
        <w:t xml:space="preserve"> 967,13), ii. 3 (cf. Thue. ii. 61 ; Xen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Mem.</w:t>
      </w:r>
      <w:r>
        <w:rPr>
          <w:rFonts w:ascii="Times New Roman" w:eastAsia="Times New Roman" w:hAnsi="Times New Roman" w:cs="Times New Roman"/>
          <w:color w:val="000000"/>
          <w:spacing w:val="0"/>
          <w:w w:val="100"/>
          <w:position w:val="0"/>
          <w:shd w:val="clear" w:color="auto" w:fill="auto"/>
          <w:lang w:val="en-US" w:eastAsia="en-US" w:bidi="en-US"/>
        </w:rPr>
        <w:t xml:space="preserve"> 1. 5, 5, 6, 8); 2 Tim. ii. 17 (cf.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hd w:val="clear" w:color="auto" w:fill="auto"/>
          <w:lang w:val="en-US" w:eastAsia="en-US" w:bidi="en-US"/>
        </w:rPr>
        <w:t>Moral.</w:t>
      </w:r>
      <w:r>
        <w:rPr>
          <w:rFonts w:ascii="Times New Roman" w:eastAsia="Times New Roman" w:hAnsi="Times New Roman" w:cs="Times New Roman"/>
          <w:color w:val="000000"/>
          <w:spacing w:val="0"/>
          <w:w w:val="100"/>
          <w:position w:val="0"/>
          <w:shd w:val="clear" w:color="auto" w:fill="auto"/>
          <w:lang w:val="en-US" w:eastAsia="en-US" w:bidi="en-US"/>
        </w:rPr>
        <w:t xml:space="preserve"> 65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ò δl κaρκims πoλυδιiχι&gt;τov ⅛ τ&lt;ρ σi&gt;μaτι πbθos) ; </w:t>
      </w:r>
      <w:r>
        <w:rPr>
          <w:rFonts w:ascii="Times New Roman" w:eastAsia="Times New Roman" w:hAnsi="Times New Roman" w:cs="Times New Roman"/>
          <w:color w:val="000000"/>
          <w:spacing w:val="0"/>
          <w:w w:val="100"/>
          <w:position w:val="0"/>
          <w:shd w:val="clear" w:color="auto" w:fill="auto"/>
          <w:lang w:val="en-US" w:eastAsia="en-US" w:bidi="en-US"/>
        </w:rPr>
        <w:t xml:space="preserve">I Tim. i. 6 (cf.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Morat. </w:t>
      </w:r>
      <w:r>
        <w:rPr>
          <w:rFonts w:ascii="Times New Roman" w:eastAsia="Times New Roman" w:hAnsi="Times New Roman" w:cs="Times New Roman"/>
          <w:color w:val="000000"/>
          <w:spacing w:val="0"/>
          <w:w w:val="100"/>
          <w:position w:val="0"/>
          <w:shd w:val="clear" w:color="auto" w:fill="auto"/>
          <w:lang w:val="en-US" w:eastAsia="en-US" w:bidi="en-US"/>
        </w:rPr>
        <w:t xml:space="preserve">414 El </w:t>
      </w:r>
      <w:r>
        <w:rPr>
          <w:rFonts w:ascii="Times New Roman" w:eastAsia="Times New Roman" w:hAnsi="Times New Roman" w:cs="Times New Roman"/>
          <w:color w:val="000000"/>
          <w:spacing w:val="0"/>
          <w:w w:val="100"/>
          <w:position w:val="0"/>
          <w:shd w:val="clear" w:color="auto" w:fill="auto"/>
          <w:lang w:val="el-GR" w:eastAsia="el-GR" w:bidi="el-GR"/>
        </w:rPr>
        <w:t xml:space="preserve">άστοχοδσι </w:t>
      </w:r>
      <w:r>
        <w:rPr>
          <w:rFonts w:ascii="Times New Roman" w:eastAsia="Times New Roman" w:hAnsi="Times New Roman" w:cs="Times New Roman"/>
          <w:color w:val="000000"/>
          <w:spacing w:val="0"/>
          <w:w w:val="100"/>
          <w:position w:val="0"/>
          <w:shd w:val="clear" w:color="auto" w:fill="auto"/>
          <w:lang w:val="en-US" w:eastAsia="en-US" w:bidi="en-US"/>
        </w:rPr>
        <w:t xml:space="preserve">τoθ </w:t>
      </w:r>
      <w:r>
        <w:rPr>
          <w:rFonts w:ascii="Times New Roman" w:eastAsia="Times New Roman" w:hAnsi="Times New Roman" w:cs="Times New Roman"/>
          <w:i/>
          <w:iCs/>
          <w:color w:val="000000"/>
          <w:spacing w:val="0"/>
          <w:w w:val="100"/>
          <w:position w:val="0"/>
          <w:shd w:val="clear" w:color="auto" w:fill="auto"/>
          <w:lang w:val="en-US" w:eastAsia="en-US" w:bidi="en-US"/>
        </w:rPr>
        <w:t>μerploυ κal πplπorros},</w:t>
      </w:r>
      <w:r>
        <w:rPr>
          <w:rFonts w:ascii="Times New Roman" w:eastAsia="Times New Roman" w:hAnsi="Times New Roman" w:cs="Times New Roman"/>
          <w:color w:val="000000"/>
          <w:spacing w:val="0"/>
          <w:w w:val="100"/>
          <w:position w:val="0"/>
          <w:shd w:val="clear" w:color="auto" w:fill="auto"/>
          <w:lang w:val="en-US" w:eastAsia="en-US" w:bidi="en-US"/>
        </w:rPr>
        <w:t xml:space="preserve"> i. IO (cf.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hd w:val="clear" w:color="auto" w:fill="auto"/>
          <w:lang w:val="en-US" w:eastAsia="en-US" w:bidi="en-US"/>
        </w:rPr>
        <w:t>De educ. lib.</w:t>
      </w:r>
      <w:r>
        <w:rPr>
          <w:rFonts w:ascii="Times New Roman" w:eastAsia="Times New Roman" w:hAnsi="Times New Roman" w:cs="Times New Roman"/>
          <w:color w:val="000000"/>
          <w:spacing w:val="0"/>
          <w:w w:val="100"/>
          <w:position w:val="0"/>
          <w:shd w:val="clear" w:color="auto" w:fill="auto"/>
          <w:lang w:val="en-US" w:eastAsia="en-US" w:bidi="en-US"/>
        </w:rPr>
        <w:t xml:space="preserve"> 5 A ro8 8γtalι&gt;oi'τos καi </w:t>
      </w:r>
      <w:r>
        <w:rPr>
          <w:rFonts w:ascii="Times New Roman" w:eastAsia="Times New Roman" w:hAnsi="Times New Roman" w:cs="Times New Roman"/>
          <w:i/>
          <w:iCs/>
          <w:color w:val="000000"/>
          <w:spacing w:val="0"/>
          <w:w w:val="100"/>
          <w:position w:val="0"/>
          <w:shd w:val="clear" w:color="auto" w:fill="auto"/>
          <w:lang w:val="en-US" w:eastAsia="en-US" w:bidi="en-US"/>
        </w:rPr>
        <w:t xml:space="preserve">τtτayμlvoυ </w:t>
      </w:r>
      <w:r>
        <w:rPr>
          <w:rFonts w:ascii="Times New Roman" w:eastAsia="Times New Roman" w:hAnsi="Times New Roman" w:cs="Times New Roman"/>
          <w:i/>
          <w:iCs/>
          <w:color w:val="000000"/>
          <w:spacing w:val="0"/>
          <w:w w:val="100"/>
          <w:position w:val="0"/>
          <w:shd w:val="clear" w:color="auto" w:fill="auto"/>
          <w:lang w:val="el-GR" w:eastAsia="el-GR" w:bidi="el-GR"/>
        </w:rPr>
        <w:t xml:space="preserve">βίου </w:t>
      </w:r>
      <w:r>
        <w:rPr>
          <w:rFonts w:ascii="Times New Roman" w:eastAsia="Times New Roman" w:hAnsi="Times New Roman" w:cs="Times New Roman"/>
          <w:i/>
          <w:iCs/>
          <w:color w:val="000000"/>
          <w:spacing w:val="0"/>
          <w:w w:val="100"/>
          <w:position w:val="0"/>
          <w:shd w:val="clear" w:color="auto" w:fill="auto"/>
          <w:lang w:val="en-US" w:eastAsia="en-US" w:bidi="en-US"/>
        </w:rPr>
        <w:t>κaτaφponιv,</w:t>
      </w:r>
      <w:r>
        <w:rPr>
          <w:rFonts w:ascii="Times New Roman" w:eastAsia="Times New Roman" w:hAnsi="Times New Roman" w:cs="Times New Roman"/>
          <w:color w:val="000000"/>
          <w:spacing w:val="0"/>
          <w:w w:val="100"/>
          <w:position w:val="0"/>
          <w:shd w:val="clear" w:color="auto" w:fill="auto"/>
          <w:lang w:val="en-US" w:eastAsia="en-US" w:bidi="en-US"/>
        </w:rPr>
        <w:t xml:space="preserve"> for ⅛γι⅛s = “ normal”; cf. Plato’s </w:t>
      </w:r>
      <w:r>
        <w:rPr>
          <w:rFonts w:ascii="Times New Roman" w:eastAsia="Times New Roman" w:hAnsi="Times New Roman" w:cs="Times New Roman"/>
          <w:i/>
          <w:iCs/>
          <w:color w:val="000000"/>
          <w:spacing w:val="0"/>
          <w:w w:val="100"/>
          <w:position w:val="0"/>
          <w:shd w:val="clear" w:color="auto" w:fill="auto"/>
          <w:lang w:val="en-US" w:eastAsia="en-US" w:bidi="en-US"/>
        </w:rPr>
        <w:t>Protagoras,</w:t>
      </w:r>
      <w:r>
        <w:rPr>
          <w:rFonts w:ascii="Times New Roman" w:eastAsia="Times New Roman" w:hAnsi="Times New Roman" w:cs="Times New Roman"/>
          <w:color w:val="000000"/>
          <w:spacing w:val="0"/>
          <w:w w:val="100"/>
          <w:position w:val="0"/>
          <w:shd w:val="clear" w:color="auto" w:fill="auto"/>
          <w:lang w:val="en-US" w:eastAsia="en-US" w:bidi="en-US"/>
        </w:rPr>
        <w:t xml:space="preserve"> 346 C), i. 19 (cf. Galen, x. 307, ⅛ ols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iυalιyησav oì πpbσβev </w:t>
      </w:r>
      <w:r>
        <w:rPr>
          <w:rFonts w:ascii="Times New Roman" w:eastAsia="Times New Roman" w:hAnsi="Times New Roman" w:cs="Times New Roman"/>
          <w:i/>
          <w:iCs/>
          <w:color w:val="000000"/>
          <w:spacing w:val="0"/>
          <w:w w:val="100"/>
          <w:position w:val="0"/>
          <w:shd w:val="clear" w:color="auto" w:fill="auto"/>
          <w:lang w:val="el-GR" w:eastAsia="el-GR" w:bidi="el-GR"/>
        </w:rPr>
        <w:t>Ιατροί</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 came to grief "), vi. 5 (cf.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hd w:val="clear" w:color="auto" w:fill="auto"/>
          <w:lang w:val="en-US" w:eastAsia="en-US" w:bidi="en-US"/>
        </w:rPr>
        <w:t>Cato major,</w:t>
      </w:r>
      <w:r>
        <w:rPr>
          <w:rFonts w:ascii="Times New Roman" w:eastAsia="Times New Roman" w:hAnsi="Times New Roman" w:cs="Times New Roman"/>
          <w:color w:val="000000"/>
          <w:spacing w:val="0"/>
          <w:w w:val="100"/>
          <w:position w:val="0"/>
          <w:shd w:val="clear" w:color="auto" w:fill="auto"/>
          <w:lang w:val="en-US" w:eastAsia="en-US" w:bidi="en-US"/>
        </w:rPr>
        <w:t xml:space="preserve"> 25, </w:t>
      </w:r>
      <w:r>
        <w:rPr>
          <w:rFonts w:ascii="Times New Roman" w:eastAsia="Times New Roman" w:hAnsi="Times New Roman" w:cs="Times New Roman"/>
          <w:i/>
          <w:iCs/>
          <w:color w:val="000000"/>
          <w:spacing w:val="0"/>
          <w:w w:val="100"/>
          <w:position w:val="0"/>
          <w:shd w:val="clear" w:color="auto" w:fill="auto"/>
          <w:lang w:val="en-US" w:eastAsia="en-US" w:bidi="en-US"/>
        </w:rPr>
        <w:t>Moral.</w:t>
      </w:r>
      <w:r>
        <w:rPr>
          <w:rFonts w:ascii="Times New Roman" w:eastAsia="Times New Roman" w:hAnsi="Times New Roman" w:cs="Times New Roman"/>
          <w:color w:val="000000"/>
          <w:spacing w:val="0"/>
          <w:w w:val="100"/>
          <w:position w:val="0"/>
          <w:shd w:val="clear" w:color="auto" w:fill="auto"/>
          <w:lang w:val="en-US" w:eastAsia="en-US" w:bidi="en-US"/>
        </w:rPr>
        <w:t xml:space="preserve"> 92 B with Plato’s </w:t>
      </w:r>
      <w:r>
        <w:rPr>
          <w:rFonts w:ascii="Times New Roman" w:eastAsia="Times New Roman" w:hAnsi="Times New Roman" w:cs="Times New Roman"/>
          <w:i/>
          <w:iCs/>
          <w:color w:val="000000"/>
          <w:spacing w:val="0"/>
          <w:w w:val="100"/>
          <w:position w:val="0"/>
          <w:shd w:val="clear" w:color="auto" w:fill="auto"/>
          <w:lang w:val="en-US" w:eastAsia="en-US" w:bidi="en-US"/>
        </w:rPr>
        <w:t>Protagoras,</w:t>
      </w:r>
      <w:r>
        <w:rPr>
          <w:rFonts w:ascii="Times New Roman" w:eastAsia="Times New Roman" w:hAnsi="Times New Roman" w:cs="Times New Roman"/>
          <w:color w:val="000000"/>
          <w:spacing w:val="0"/>
          <w:w w:val="100"/>
          <w:position w:val="0"/>
          <w:shd w:val="clear" w:color="auto" w:fill="auto"/>
          <w:lang w:val="en-US" w:eastAsia="en-US" w:bidi="en-US"/>
        </w:rPr>
        <w:t xml:space="preserve"> 313).</w:t>
      </w:r>
    </w:p>
    <w:p>
      <w:pPr>
        <w:pStyle w:val="Style3"/>
        <w:keepNext w:val="0"/>
        <w:keepLines w:val="0"/>
        <w:widowControl w:val="0"/>
        <w:shd w:val="clear" w:color="auto" w:fill="auto"/>
        <w:tabs>
          <w:tab w:pos="27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 xml:space="preserve">Even linguistically Titus and 1 Tim. are closer to one another than either to 2 Tim. The latter has no allusion to the </w:t>
      </w:r>
      <w:r>
        <w:rPr>
          <w:rFonts w:ascii="Times New Roman" w:eastAsia="Times New Roman" w:hAnsi="Times New Roman" w:cs="Times New Roman"/>
          <w:i/>
          <w:iCs/>
          <w:color w:val="000000"/>
          <w:spacing w:val="0"/>
          <w:w w:val="100"/>
          <w:position w:val="0"/>
          <w:shd w:val="clear" w:color="auto" w:fill="auto"/>
          <w:lang w:val="en-US" w:eastAsia="en-US" w:bidi="en-US"/>
        </w:rPr>
        <w:t>κa</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bv 1ρyov,'</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el-GR" w:eastAsia="el-GR" w:bidi="el-GR"/>
        </w:rPr>
        <w:t xml:space="preserve">{«ροίώασκαλ«»',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bιaβtβau&gt;vσθaι,</w:t>
      </w:r>
      <w:r>
        <w:rPr>
          <w:rFonts w:ascii="Times New Roman" w:eastAsia="Times New Roman" w:hAnsi="Times New Roman" w:cs="Times New Roman"/>
          <w:color w:val="000000"/>
          <w:spacing w:val="0"/>
          <w:w w:val="100"/>
          <w:position w:val="0"/>
          <w:shd w:val="clear" w:color="auto" w:fill="auto"/>
          <w:lang w:val="en-US" w:eastAsia="en-US" w:bidi="en-US"/>
        </w:rPr>
        <w:t xml:space="preserve"> &amp;c., of the others, and contains one or two specific phrases of its own. 1 Tim., like Ephesians, is a writing whose lack of greetings and general tone point to the functions of an encyclical or Catholic epistle.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@@@9.For details, cf. </w:t>
      </w:r>
      <w:r>
        <w:rPr>
          <w:rFonts w:ascii="Times New Roman" w:eastAsia="Times New Roman" w:hAnsi="Times New Roman" w:cs="Times New Roman"/>
          <w:i/>
          <w:iCs/>
          <w:color w:val="000000"/>
          <w:spacing w:val="0"/>
          <w:w w:val="100"/>
          <w:position w:val="0"/>
          <w:shd w:val="clear" w:color="auto" w:fill="auto"/>
          <w:lang w:val="en-US" w:eastAsia="en-US" w:bidi="en-US"/>
        </w:rPr>
        <w:t>Ency. Bib.</w:t>
      </w:r>
      <w:r>
        <w:rPr>
          <w:rFonts w:ascii="Times New Roman" w:eastAsia="Times New Roman" w:hAnsi="Times New Roman" w:cs="Times New Roman"/>
          <w:color w:val="000000"/>
          <w:spacing w:val="0"/>
          <w:w w:val="100"/>
          <w:position w:val="0"/>
          <w:shd w:val="clear" w:color="auto" w:fill="auto"/>
          <w:lang w:val="en-US" w:eastAsia="en-US" w:bidi="en-US"/>
        </w:rPr>
        <w:t xml:space="preserve"> 5093-5094. Of the five “faithful sayings,” three occur in 1 Tim.; these condensed aphorisms tally with liturgical fragments such as the famous quotation in 1 Tim. iii. 16, a formula of confession written in small short cola (cf. Klöpper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Zeitschrift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fur wiss. </w:t>
      </w:r>
      <w:r>
        <w:rPr>
          <w:rFonts w:ascii="Times New Roman" w:eastAsia="Times New Roman" w:hAnsi="Times New Roman" w:cs="Times New Roman"/>
          <w:i/>
          <w:iCs/>
          <w:color w:val="000000"/>
          <w:spacing w:val="0"/>
          <w:w w:val="100"/>
          <w:position w:val="0"/>
          <w:shd w:val="clear" w:color="auto" w:fill="auto"/>
          <w:lang w:val="de-DE" w:eastAsia="de-DE" w:bidi="de-DE"/>
        </w:rPr>
        <w:t>Theologie,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1902, pp. 336 seq.).</w:t>
      </w:r>
    </w:p>
    <w:p>
      <w:pPr>
        <w:widowControl w:val="0"/>
        <w:spacing w:line="1" w:lineRule="exact"/>
      </w:pPr>
    </w:p>
    <w:sectPr>
      <w:footnotePr>
        <w:pos w:val="pageBottom"/>
        <w:numFmt w:val="decimal"/>
        <w:numRestart w:val="continuous"/>
      </w:footnotePr>
      <w:type w:val="continuous"/>
      <w:pgSz w:w="12240" w:h="15840"/>
      <w:pgMar w:top="806" w:left="917" w:right="879" w:bottom="6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