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second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Luke x. 7) goes back to either Luke’s gospel or its source at this particular point. The hypothesis that a saying of Jesus is loosely added,here to an Old Testament citation is very forced, and the inference is that by the time the author wrote, Luke's gospel was reckoned as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γραφή.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would be explicable if Luke could be assumed to have been the author, in whole or part, of the pastorals.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 Mτ.)</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TIMOTHY, SECOND EPISTLE TO. </w:t>
      </w:r>
      <w:r>
        <w:rPr>
          <w:rFonts w:ascii="Times New Roman" w:eastAsia="Times New Roman" w:hAnsi="Times New Roman" w:cs="Times New Roman"/>
          <w:color w:val="000000"/>
          <w:spacing w:val="0"/>
          <w:w w:val="100"/>
          <w:position w:val="0"/>
          <w:shd w:val="clear" w:color="auto" w:fill="auto"/>
          <w:lang w:val="en-US" w:eastAsia="en-US" w:bidi="en-US"/>
        </w:rPr>
        <w:t>In this book of the New Testament, after a brief thanksgiving for the faith of Timothy (i. 1-5), Paul is represented as warning him against false shame (6 seq.), adducing his own example and that of Onesiphorus. The need and the reward of endurance are then urged (ii. 1-13), and Timothy is bidden to adhere in his work to the Pauline gospel against the seductions of controversial and immoral heretics (ii. 14 seq.).@@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practices of the latter are pungently depicted@@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(iii. 1-9); Paul reiterates his opening counsels (to seq.) and then closes with a solemn charge to personal faithfulness. A note of personal matters concludes the epistle (iv. 6-22).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verse, with its two-fold greeting ( ó </w:t>
      </w:r>
      <w:r>
        <w:rPr>
          <w:rFonts w:ascii="Times New Roman" w:eastAsia="Times New Roman" w:hAnsi="Times New Roman" w:cs="Times New Roman"/>
          <w:color w:val="000000"/>
          <w:spacing w:val="0"/>
          <w:w w:val="100"/>
          <w:position w:val="0"/>
          <w:shd w:val="clear" w:color="auto" w:fill="auto"/>
          <w:lang w:val="el-GR" w:eastAsia="el-GR" w:bidi="el-GR"/>
        </w:rPr>
        <w:t xml:space="preserve">κύριοι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μeτa</w:t>
      </w:r>
      <w:r>
        <w:rPr>
          <w:rFonts w:ascii="Times New Roman" w:eastAsia="Times New Roman" w:hAnsi="Times New Roman" w:cs="Times New Roman"/>
          <w:color w:val="000000"/>
          <w:spacing w:val="0"/>
          <w:w w:val="100"/>
          <w:position w:val="0"/>
          <w:shd w:val="clear" w:color="auto" w:fill="auto"/>
          <w:lang w:val="en-US" w:eastAsia="en-US" w:bidi="en-US"/>
        </w:rPr>
        <w:t xml:space="preserve"> τoυ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ιrve0μaτ0s</w:t>
      </w:r>
      <w:r>
        <w:rPr>
          <w:rFonts w:ascii="Times New Roman" w:eastAsia="Times New Roman" w:hAnsi="Times New Roman" w:cs="Times New Roman"/>
          <w:color w:val="000000"/>
          <w:spacing w:val="0"/>
          <w:w w:val="100"/>
          <w:position w:val="0"/>
          <w:shd w:val="clear" w:color="auto" w:fill="auto"/>
          <w:lang w:val="en-US" w:eastAsia="en-US" w:bidi="en-US"/>
        </w:rPr>
        <w:t xml:space="preserve"> σou, ⅛ χdpιs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μeθ</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vμωv),</w:t>
      </w:r>
      <w:r>
        <w:rPr>
          <w:rFonts w:ascii="Times New Roman" w:eastAsia="Times New Roman" w:hAnsi="Times New Roman" w:cs="Times New Roman"/>
          <w:color w:val="000000"/>
          <w:spacing w:val="0"/>
          <w:w w:val="100"/>
          <w:position w:val="0"/>
          <w:shd w:val="clear" w:color="auto" w:fill="auto"/>
          <w:lang w:val="en-US" w:eastAsia="en-US" w:bidi="en-US"/>
        </w:rPr>
        <w:t xml:space="preserve"> shows unconsciously but plainly that, while the epistle professes to be a private letter to Timothy, it is in reality addressed to a wider circle, like 1 Tim. and Titus. But its composite origin is also clear.@@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Thus iv. 6-22a, which is certainly authentic, is not homogeneous in itself, the situation of verses 6-8 hardly agreeing with that of 9 seq., while verse 11 (“ Luke alone is with me ”) cannot have been written at the same time as verse 21. Various schemes of analysis have been proposed to account for this and other passages of the same nature in the epistle,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 15-18, iii. 10 seq. But the general result of such reconstructions is tentative. All that criticism has succeeded in establishing is the fact that the author had some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reliquiae Paulinae</w:t>
      </w:r>
      <w:r>
        <w:rPr>
          <w:rFonts w:ascii="Times New Roman" w:eastAsia="Times New Roman" w:hAnsi="Times New Roman" w:cs="Times New Roman"/>
          <w:color w:val="000000"/>
          <w:spacing w:val="0"/>
          <w:w w:val="100"/>
          <w:position w:val="0"/>
          <w:shd w:val="clear" w:color="auto" w:fill="auto"/>
          <w:lang w:val="en-US" w:eastAsia="en-US" w:bidi="en-US"/>
        </w:rPr>
        <w:t xml:space="preserve"> at his disposal, notes written either before or during his last imprisonment in Rome,@@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these have been worked up into the present letter by one who rightly believed that his master would stoutly oppose the current errors of the 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Timothy, like 1 Timothy, reveals with fair precision the period and aim of the writer of the pastorals. Evidently (cf. Acts xx. 29-30) the Pauline Christianity of Ephesus was im</w:t>
        <w:softHyphen/>
        <w:t xml:space="preserve">perilled seriously during the last quarter of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century. Its very growth invited attempts to weave ascetic, theosophic, semi-Jewish fancies round the faith, not unlike the attempts often made in modern India to assimilate Christian and local philosophies of religion. Against such the writer argues in Paul’s name, as Luke had already done. From the composition of a speech in Paul’s name (for, though the farewell in Acts goes back to first-hand tradition, it represents the author’s standpoint as well as Paul’s), it was but a step to compose letters in his name, especially on the basis of some of his extant notes. A genuine concern for local Christianity is the writer’s justification for his work, and any idea of fraudulent aims must be dismissed at once.@@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To a writer of this period, it would seem as legitimate an artifice to compose a letter as to compose a speech in the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name of a great man whose sentiments it was desired to reproduce and record; the question which seems so important to us, whether the words and even the sentiments are the great man’s own or only his historian’s, seems then hardly to’ have occurred either to writer or readers ” (W. H. Simcox,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Writers of the New Testa</w:t>
        <w:softHyphen/>
        <w:t>ment,</w:t>
      </w:r>
      <w:r>
        <w:rPr>
          <w:rFonts w:ascii="Times New Roman" w:eastAsia="Times New Roman" w:hAnsi="Times New Roman" w:cs="Times New Roman"/>
          <w:color w:val="000000"/>
          <w:spacing w:val="0"/>
          <w:w w:val="100"/>
          <w:position w:val="0"/>
          <w:shd w:val="clear" w:color="auto" w:fill="auto"/>
          <w:lang w:val="en-US" w:eastAsia="en-US" w:bidi="en-US"/>
        </w:rPr>
        <w:t xml:space="preserve"> p. 38). The address at Miletus is Paul’s last word to the Christian elders of Ephesus, warning them against heresies (Acts xx. 29 seq.) and solemnly bidding them exercise their disciplinary duties. The Second Epistle to Timothy carries on this line of advice. Here Paul, being dead, yet speaks through Timothy to the local Christians who are exposed to such mis</w:t>
        <w:softHyphen/>
        <w:t>chievous tendencies in their environment.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the writer has hardly succeeded in representing Paul is in his relations to Timothy. One may admit that, strictly speaking, the latter at the age of about thirty-five or forty could still be called p⅛s, and that Paul might conceivably have termed him still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τtnvov.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the counsels addressed to him seem rather out of place when one recollects the position which he occupied. To a writer who desired a situation for such advice on church life and doctrine from the lips of Paul to his lieutenant, it was natural to think of a temporary absence.@@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many of the directions are much too serious and fundamental to have been given in this form ; one can hardly imagine that Paul considered Timothy (or Titus) still in need of elementary advice and warning upon such matters, and especially on personal purity. When they are re- garded as typical figures of the later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episcopi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Church, the point of this emphasis upon elementary principles and duties is at once clear; they outline graphically the qualifications for the church offices in question.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pressing need of the Church, as the writer conceives it, is to maintain the true Pauline tradition (2 Tim. i. 13, &amp;c.) against certain moral.and speculative ideas. This maintenance takes the twofold practical form of (a) adherence to formulated statements of the “sound teaching” and (6) insistence on a succession of church officials (2 Tim. ii. 1-2) who are not merely to preside but to teach. The. last point is significant in view of Didachê xv. 1. The standpoint of the author is practically that of Clemens Romanus (xlii. seq.), who asserts that the apostles preached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every</w:t>
        <w:softHyphen/>
        <w:t>where in country and town, appointing their first-fruits, when they had proved them by the Spirit, to be bishops and deacons.” The interests of discipline and doctrine were thus to be conserved.@@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Paul's lieutenants possess the central deposit of the apostolic faith, and have the duty as well as the right of exercising the authority with which that position invests them.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occasional coincidences between the pastorals and Barna</w:t>
        <w:softHyphen/>
        <w:t xml:space="preserve">bas or Clemens Romanus do not prove anything more than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common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milieu</w:t>
      </w:r>
      <w:r>
        <w:rPr>
          <w:rFonts w:ascii="Times New Roman" w:eastAsia="Times New Roman" w:hAnsi="Times New Roman" w:cs="Times New Roman"/>
          <w:color w:val="000000"/>
          <w:spacing w:val="0"/>
          <w:w w:val="100"/>
          <w:position w:val="0"/>
          <w:shd w:val="clear" w:color="auto" w:fill="auto"/>
          <w:lang w:val="en-US" w:eastAsia="en-US" w:bidi="en-US"/>
        </w:rPr>
        <w:t xml:space="preserve"> of thought, but the epistles were plainly familiar to Polycarp, who alludes to 1 Tim. ii. 1, vi. 7, 10, and 2 Tim. ii. 11, 25, iv. 10 (for this and the other passages from Polycarp,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 Testament in the Apostolic Fathers,</w:t>
      </w:r>
      <w:r>
        <w:rPr>
          <w:rFonts w:ascii="Times New Roman" w:eastAsia="Times New Roman" w:hAnsi="Times New Roman" w:cs="Times New Roman"/>
          <w:color w:val="000000"/>
          <w:spacing w:val="0"/>
          <w:w w:val="100"/>
          <w:position w:val="0"/>
          <w:shd w:val="clear" w:color="auto" w:fill="auto"/>
          <w:lang w:val="en-US" w:eastAsia="en-US" w:bidi="en-US"/>
        </w:rPr>
        <w:t xml:space="preserve"> 1905, pp. 95 seq.). This indubitable use of the pastorals in Polycarp@@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throws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terminus ad quern</w:t>
      </w:r>
      <w:r>
        <w:rPr>
          <w:rFonts w:ascii="Times New Roman" w:eastAsia="Times New Roman" w:hAnsi="Times New Roman" w:cs="Times New Roman"/>
          <w:color w:val="000000"/>
          <w:spacing w:val="0"/>
          <w:w w:val="100"/>
          <w:position w:val="0"/>
          <w:shd w:val="clear" w:color="auto" w:fill="auto"/>
          <w:lang w:val="en-US" w:eastAsia="en-US" w:bidi="en-US"/>
        </w:rPr>
        <w:t xml:space="preserve"> of their composition back into the first decade of the 2nd century, and additional confirmation of this would be forthcoming were the evidence for their use in Ignatius more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Bahnsen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gives an ingenious analysis of this section in the epistle. In ii. 8-13, ii. 6 is developed; in ii. 14-26, ii. 4; and in iii. 1-4 (8), ii. 5. But this is as artificial as Otto’s attempt to classify the con</w:t>
        <w:softHyphen/>
        <w:t>tents of the epistle under the three notes of the τrn⅛α in i. 7.</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iii. 6 see the fragment from Philo quoted in Euseb.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Praep. Evang,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viii. 11.</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 “ If the epistle was an integral as we have it, its genuineness could scarcely be maintained ” (Laughlin, p. 26).</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Bacon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(.Story of St Paul, 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198) and Clemen both assign part of the epistle to the Caesarean imprisonment, the former disentangling iv. 9, 11-18, 20-21a, 22b, the latter iv. 9-18.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Hitzig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had already found a Caesarean letter in i. 15, iv. 13-16, 20-22a. One great point in favour of such theories is that they give a natural sense to iv. 16, Paul’s first defence being that before the Jews or before Felix.</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the present writer’s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New Testament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(2nd ed., 1901, pp. 619 seq.), where the relevant literature is cited. An adequate monograph on ancient pseudonymous literature remains to be written; meantime, further reference may be made to the older essays of Mosheim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(Dissertatio de caussis suppositorum librorum inter Christianos saeetdi primi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secundi,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1733); Bentley's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Disserta</w:t>
        <w:softHyphen/>
        <w:t>tion on Phalaris,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80 seq.; K. R. K&lt;⅛tlin's article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Theol.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Jahr</w:t>
        <w:softHyphen/>
        <w:t>bücher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(1851), pp. 145-221, on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pseud. Litteratur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der ältesten Kirche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and A. Giidemann,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Classical Studies in Honour of H. Drissler,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52-74 (New York, 1894).</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drawback was that,, if Paul was soon to see his colleagues again (Titus i. 5; 1 Tim. !.. 3), such detailed advice was hardly necessary; but this imperfection was inevitable.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post-Pauline atmosphere of the ecclesiastical regulations is felt most plainly in the references to such sub-apostolic features as the organized register of “ widows.”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Mσκσr&lt;x,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δι4κoeor and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χήρα</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also forbidden to contract a second marriage. Such, at any rate, seems the fairest interpretation of 1 Tim. iii.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(A1rlσ∞1ros) in the light of early Christian tradition, for although the phrase “ husband of one wife” might conceivably be intended as a prohibition of polygamy or vice ( = faithful husband, or sober, married man), the antipathy to second marriages (cf. Jacoby,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Neutest. Ethik,</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pp. 378 seq.) is quite in accord with sub-apostolic practice. It is almost as un-Pauline as the assumption that every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ιπlσκoπos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must be married. Cf. on this whole subject Hilgenfeld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(Zeitschrift 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wiss.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1886, pp. 456 seq.)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Schmiedel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(Encycl. Biblica,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3113 seq.) ; the opposite position is stated excellently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(Christian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Ecclesia,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1898, 189 seq.) and Dr T. Μ. Lindsay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(Hibbert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166 seq.,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Church and the Ministry in the early Centuries,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pp. 139 seq.).</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 The pastorals soon passed into great favour in the early Church. Their method and aim were entirely congenial to the rising Catholic Church, and one is not surprised to find from writers in the East (Theophilus of Antioch, Justin Martyr) and West (Irenaeus, Ter- tullian and the author of 2 Clement) that they were widely read and valued. Absent from Marcion’s canon, they were included in the Muratorian, where they appear as private letters (“ pro afïectu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dilectione ”). See, on the external evidence in general, Zahn’s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neutest.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Kanons,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634 seq.</w:t>
      </w:r>
    </w:p>
    <w:p>
      <w:pPr>
        <w:widowControl w:val="0"/>
        <w:spacing w:line="1" w:lineRule="exact"/>
      </w:pPr>
    </w:p>
    <w:sectPr>
      <w:footnotePr>
        <w:pos w:val="pageBottom"/>
        <w:numFmt w:val="decimal"/>
        <w:numRestart w:val="continuous"/>
      </w:footnotePr>
      <w:type w:val="continuous"/>
      <w:pgSz w:w="12240" w:h="15840"/>
      <w:pgMar w:top="939" w:left="787" w:right="979"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