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06" w:lineRule="auto"/>
        <w:ind w:left="0" w:firstLine="0"/>
        <w:jc w:val="left"/>
      </w:pPr>
      <w:r>
        <w:rPr>
          <w:rFonts w:ascii="Times New Roman" w:eastAsia="Times New Roman" w:hAnsi="Times New Roman" w:cs="Times New Roman"/>
          <w:color w:val="000000"/>
          <w:spacing w:val="0"/>
          <w:w w:val="100"/>
          <w:position w:val="0"/>
          <w:sz w:val="19"/>
          <w:szCs w:val="19"/>
          <w:shd w:val="clear" w:color="auto" w:fill="auto"/>
          <w:lang w:val="en-US" w:eastAsia="en-US" w:bidi="en-US"/>
        </w:rPr>
        <w:t>to the famous controversy between Stillingfleet and the philo</w:t>
        <w:softHyphen/>
        <w:t xml:space="preserve">sopher. Toland’s next work of importance was his </w:t>
      </w:r>
      <w:r>
        <w:rPr>
          <w:rFonts w:ascii="Times New Roman" w:eastAsia="Times New Roman" w:hAnsi="Times New Roman" w:cs="Times New Roman"/>
          <w:i/>
          <w:iCs/>
          <w:color w:val="000000"/>
          <w:spacing w:val="0"/>
          <w:w w:val="100"/>
          <w:position w:val="0"/>
          <w:shd w:val="clear" w:color="auto" w:fill="auto"/>
          <w:lang w:val="en-US" w:eastAsia="en-US" w:bidi="en-US"/>
        </w:rPr>
        <w:t xml:space="preserve">Life of Milton </w:t>
      </w:r>
      <w:r>
        <w:rPr>
          <w:rFonts w:ascii="Times New Roman" w:eastAsia="Times New Roman" w:hAnsi="Times New Roman" w:cs="Times New Roman"/>
          <w:color w:val="000000"/>
          <w:spacing w:val="0"/>
          <w:w w:val="100"/>
          <w:position w:val="0"/>
          <w:sz w:val="19"/>
          <w:szCs w:val="19"/>
          <w:shd w:val="clear" w:color="auto" w:fill="auto"/>
          <w:lang w:val="en-US" w:eastAsia="en-US" w:bidi="en-US"/>
        </w:rPr>
        <w:t>(1698), in which a reference to “ the numerous supposititious pieces under the name of Christ and His apostles and other great persons,” provoked the charge that he had called in question the genuineness of the New' Testament writings. Toland re</w:t>
        <w:softHyphen/>
        <w:t xml:space="preserve">plied in his </w:t>
      </w:r>
      <w:r>
        <w:rPr>
          <w:rFonts w:ascii="Times New Roman" w:eastAsia="Times New Roman" w:hAnsi="Times New Roman" w:cs="Times New Roman"/>
          <w:i/>
          <w:iCs/>
          <w:color w:val="000000"/>
          <w:spacing w:val="0"/>
          <w:w w:val="100"/>
          <w:position w:val="0"/>
          <w:shd w:val="clear" w:color="auto" w:fill="auto"/>
          <w:lang w:val="en-US" w:eastAsia="en-US" w:bidi="en-US"/>
        </w:rPr>
        <w:t>Amyntor, or a Defence of Milton’s Life</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(1699), to which he added a remarkable list of what are now called apocryphal New Testament w’ritings. In his remarks he really opened up the great question of the history of the canon. The next year his </w:t>
      </w:r>
      <w:r>
        <w:rPr>
          <w:rFonts w:ascii="Times New Roman" w:eastAsia="Times New Roman" w:hAnsi="Times New Roman" w:cs="Times New Roman"/>
          <w:i/>
          <w:iCs/>
          <w:color w:val="000000"/>
          <w:spacing w:val="0"/>
          <w:w w:val="100"/>
          <w:position w:val="0"/>
          <w:shd w:val="clear" w:color="auto" w:fill="auto"/>
          <w:lang w:val="en-US" w:eastAsia="en-US" w:bidi="en-US"/>
        </w:rPr>
        <w:t>Amyntor</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Christianity not Mysterious</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were under discussion in both houses of Convocation, and the Upper House declined to proceed against the author. In 1701 Toland spent a few weeks at Hanover as secretary to the embassy of the earl of Macclesfield, and was received with favour by the electress Sophia in acknowledgment of his book </w:t>
      </w:r>
      <w:r>
        <w:rPr>
          <w:rFonts w:ascii="Times New Roman" w:eastAsia="Times New Roman" w:hAnsi="Times New Roman" w:cs="Times New Roman"/>
          <w:i/>
          <w:iCs/>
          <w:color w:val="000000"/>
          <w:spacing w:val="0"/>
          <w:w w:val="100"/>
          <w:position w:val="0"/>
          <w:shd w:val="clear" w:color="auto" w:fill="auto"/>
          <w:lang w:val="en-US" w:eastAsia="en-US" w:bidi="en-US"/>
        </w:rPr>
        <w:t>Anglia Libera,</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a defence of the Hanoverian succession. On his return from the Conti</w:t>
        <w:softHyphen/>
        <w:t xml:space="preserve">nent he published </w:t>
      </w:r>
      <w:r>
        <w:rPr>
          <w:rFonts w:ascii="Times New Roman" w:eastAsia="Times New Roman" w:hAnsi="Times New Roman" w:cs="Times New Roman"/>
          <w:i/>
          <w:iCs/>
          <w:color w:val="000000"/>
          <w:spacing w:val="0"/>
          <w:w w:val="100"/>
          <w:position w:val="0"/>
          <w:shd w:val="clear" w:color="auto" w:fill="auto"/>
          <w:lang w:val="en-US" w:eastAsia="en-US" w:bidi="en-US"/>
        </w:rPr>
        <w:t>Vindicius Liberius</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(1702), a defence of him</w:t>
        <w:softHyphen/>
        <w:t xml:space="preserve">self and of the bishops for not prosecuting him. In this he apologized for </w:t>
      </w:r>
      <w:r>
        <w:rPr>
          <w:rFonts w:ascii="Times New Roman" w:eastAsia="Times New Roman" w:hAnsi="Times New Roman" w:cs="Times New Roman"/>
          <w:i/>
          <w:iCs/>
          <w:color w:val="000000"/>
          <w:spacing w:val="0"/>
          <w:w w:val="100"/>
          <w:position w:val="0"/>
          <w:shd w:val="clear" w:color="auto" w:fill="auto"/>
          <w:lang w:val="en-US" w:eastAsia="en-US" w:bidi="en-US"/>
        </w:rPr>
        <w:t>Christianity not Mysterious,</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as a youthful indis</w:t>
        <w:softHyphen/>
        <w:t xml:space="preserve">cretion, and declared his conformity to the doctrines of the established Church. The next year he visited Hanover and Berlin, and was again graciously received by the electress and her daughter Sophia Charlotte, queen of Prussia, the “ Serena” of the </w:t>
      </w:r>
      <w:r>
        <w:rPr>
          <w:rFonts w:ascii="Times New Roman" w:eastAsia="Times New Roman" w:hAnsi="Times New Roman" w:cs="Times New Roman"/>
          <w:i/>
          <w:iCs/>
          <w:color w:val="000000"/>
          <w:spacing w:val="0"/>
          <w:w w:val="100"/>
          <w:position w:val="0"/>
          <w:shd w:val="clear" w:color="auto" w:fill="auto"/>
          <w:lang w:val="en-US" w:eastAsia="en-US" w:bidi="en-US"/>
        </w:rPr>
        <w:t>Letters</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published on his return to England (1704). In two of these (A </w:t>
      </w:r>
      <w:r>
        <w:rPr>
          <w:rFonts w:ascii="Times New Roman" w:eastAsia="Times New Roman" w:hAnsi="Times New Roman" w:cs="Times New Roman"/>
          <w:i/>
          <w:iCs/>
          <w:color w:val="000000"/>
          <w:spacing w:val="0"/>
          <w:w w:val="100"/>
          <w:position w:val="0"/>
          <w:shd w:val="clear" w:color="auto" w:fill="auto"/>
          <w:lang w:val="en-US" w:eastAsia="en-US" w:bidi="en-US"/>
        </w:rPr>
        <w:t>Letter to a Gentleman in Holland,</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Motion essential to Matter),</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ostensibly an attack on Spinoza, he antici</w:t>
        <w:softHyphen/>
        <w:t xml:space="preserve">pated some of the speculations of modern materialism. The </w:t>
      </w:r>
      <w:r>
        <w:rPr>
          <w:rFonts w:ascii="Times New Roman" w:eastAsia="Times New Roman" w:hAnsi="Times New Roman" w:cs="Times New Roman"/>
          <w:i/>
          <w:iCs/>
          <w:color w:val="000000"/>
          <w:spacing w:val="0"/>
          <w:w w:val="100"/>
          <w:position w:val="0"/>
          <w:shd w:val="clear" w:color="auto" w:fill="auto"/>
          <w:lang w:val="en-US" w:eastAsia="en-US" w:bidi="en-US"/>
        </w:rPr>
        <w:t>Account of the Courts of Prussia and Hanover</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(1705) was used by Carlyle in his </w:t>
      </w:r>
      <w:r>
        <w:rPr>
          <w:rFonts w:ascii="Times New Roman" w:eastAsia="Times New Roman" w:hAnsi="Times New Roman" w:cs="Times New Roman"/>
          <w:i/>
          <w:iCs/>
          <w:color w:val="000000"/>
          <w:spacing w:val="0"/>
          <w:w w:val="100"/>
          <w:position w:val="0"/>
          <w:shd w:val="clear" w:color="auto" w:fill="auto"/>
          <w:lang w:val="en-US" w:eastAsia="en-US" w:bidi="en-US"/>
        </w:rPr>
        <w:t>Life of Frederick the Great.</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From 1707 to 1710 Toland lived in varying circumstances on the Continent. In 1709 he published (at the Hague) </w:t>
      </w:r>
      <w:r>
        <w:rPr>
          <w:rFonts w:ascii="Times New Roman" w:eastAsia="Times New Roman" w:hAnsi="Times New Roman" w:cs="Times New Roman"/>
          <w:i/>
          <w:iCs/>
          <w:color w:val="000000"/>
          <w:spacing w:val="0"/>
          <w:w w:val="100"/>
          <w:position w:val="0"/>
          <w:shd w:val="clear" w:color="auto" w:fill="auto"/>
          <w:lang w:val="en-US" w:eastAsia="en-US" w:bidi="en-US"/>
        </w:rPr>
        <w:t>Adeisidaemon</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fr-FR" w:eastAsia="fr-FR" w:bidi="fr-FR"/>
        </w:rPr>
        <w:t xml:space="preserve">Origines </w:t>
      </w:r>
      <w:r>
        <w:rPr>
          <w:rFonts w:ascii="Times New Roman" w:eastAsia="Times New Roman" w:hAnsi="Times New Roman" w:cs="Times New Roman"/>
          <w:i/>
          <w:iCs/>
          <w:color w:val="000000"/>
          <w:spacing w:val="0"/>
          <w:w w:val="100"/>
          <w:position w:val="0"/>
          <w:shd w:val="clear" w:color="auto" w:fill="auto"/>
          <w:lang w:val="en-US" w:eastAsia="en-US" w:bidi="en-US"/>
        </w:rPr>
        <w:t>Judaicae,</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in which, amongst other things, he maintained that the Jews were originally Egyptians, and that the true Mosaic institutions perished with Moses. After his return to England, he lived chiefly in London and latterly in Putney, subsisting precariously upon the earnings of his pen and the benevo</w:t>
        <w:softHyphen/>
        <w:t xml:space="preserve">lence of his patrons. His literary projects were numerous (see Mosheim’s </w:t>
      </w:r>
      <w:r>
        <w:rPr>
          <w:rFonts w:ascii="Times New Roman" w:eastAsia="Times New Roman" w:hAnsi="Times New Roman" w:cs="Times New Roman"/>
          <w:i/>
          <w:iCs/>
          <w:color w:val="000000"/>
          <w:spacing w:val="0"/>
          <w:w w:val="100"/>
          <w:position w:val="0"/>
          <w:shd w:val="clear" w:color="auto" w:fill="auto"/>
          <w:lang w:val="en-US" w:eastAsia="en-US" w:bidi="en-US"/>
        </w:rPr>
        <w:t>Vila);</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his warm Irish nature appears in his projected history of the ancient Celtic religion and his chivalrous advocacy of the naturalization of the Jews. The last of his theological works were </w:t>
      </w:r>
      <w:r>
        <w:rPr>
          <w:rFonts w:ascii="Times New Roman" w:eastAsia="Times New Roman" w:hAnsi="Times New Roman" w:cs="Times New Roman"/>
          <w:i/>
          <w:iCs/>
          <w:color w:val="000000"/>
          <w:spacing w:val="0"/>
          <w:w w:val="100"/>
          <w:position w:val="0"/>
          <w:shd w:val="clear" w:color="auto" w:fill="auto"/>
          <w:lang w:val="en-US" w:eastAsia="en-US" w:bidi="en-US"/>
        </w:rPr>
        <w:t>Nazarenus, or Jewish, Gentile and Mahometan Christianity</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(1718), and </w:t>
      </w:r>
      <w:r>
        <w:rPr>
          <w:rFonts w:ascii="Times New Roman" w:eastAsia="Times New Roman" w:hAnsi="Times New Roman" w:cs="Times New Roman"/>
          <w:i/>
          <w:iCs/>
          <w:color w:val="000000"/>
          <w:spacing w:val="0"/>
          <w:w w:val="100"/>
          <w:position w:val="0"/>
          <w:shd w:val="clear" w:color="auto" w:fill="auto"/>
          <w:lang w:val="en-US" w:eastAsia="en-US" w:bidi="en-US"/>
        </w:rPr>
        <w:t xml:space="preserve">Tetradymus (1710),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a collection of essays on various subjects, in the first of which </w:t>
      </w:r>
      <w:r>
        <w:rPr>
          <w:rFonts w:ascii="Times New Roman" w:eastAsia="Times New Roman" w:hAnsi="Times New Roman" w:cs="Times New Roman"/>
          <w:i/>
          <w:iCs/>
          <w:color w:val="000000"/>
          <w:spacing w:val="0"/>
          <w:w w:val="100"/>
          <w:position w:val="0"/>
          <w:shd w:val="clear" w:color="auto" w:fill="auto"/>
          <w:lang w:val="en-US" w:eastAsia="en-US" w:bidi="en-US"/>
        </w:rPr>
        <w:t>(Hodegus)</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he set the example, subsequently followed by Reimarus and the rationalistic school in Germany, of interpret</w:t>
        <w:softHyphen/>
        <w:t xml:space="preserve">ing the Old Testament miracles by the naturalistic method, maintaining, for instance, that the pillar of cloud and the fire of </w:t>
      </w:r>
      <w:r>
        <w:rPr>
          <w:rFonts w:ascii="Times New Roman" w:eastAsia="Times New Roman" w:hAnsi="Times New Roman" w:cs="Times New Roman"/>
          <w:i/>
          <w:iCs/>
          <w:color w:val="000000"/>
          <w:spacing w:val="0"/>
          <w:w w:val="100"/>
          <w:position w:val="0"/>
          <w:shd w:val="clear" w:color="auto" w:fill="auto"/>
          <w:lang w:val="en-US" w:eastAsia="en-US" w:bidi="en-US"/>
        </w:rPr>
        <w:t>Exodus</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was a transported signal-fire. His last and most offen</w:t>
        <w:softHyphen/>
        <w:t xml:space="preserve">sive book was his </w:t>
      </w:r>
      <w:r>
        <w:rPr>
          <w:rFonts w:ascii="Times New Roman" w:eastAsia="Times New Roman" w:hAnsi="Times New Roman" w:cs="Times New Roman"/>
          <w:i/>
          <w:iCs/>
          <w:color w:val="000000"/>
          <w:spacing w:val="0"/>
          <w:w w:val="100"/>
          <w:position w:val="0"/>
          <w:shd w:val="clear" w:color="auto" w:fill="auto"/>
          <w:lang w:val="en-US" w:eastAsia="en-US" w:bidi="en-US"/>
        </w:rPr>
        <w:t>Pantheisticon</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(1720). He died on the nth of March, 1721-1722, as he had lived, in great poverty, in the midst of his books, with his pen in his hand. Just before his death he composed an epitaph on himself, in which he claimed to have been “ Veritatis propugnator, libertatis assertor.” The words “ Ipse vero aeternum </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est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resurrecturus, at idem futurusTolandus nunquam ” seem to indicate his adherence to the pantheistic creed expounded in the </w:t>
      </w:r>
      <w:r>
        <w:rPr>
          <w:rFonts w:ascii="Times New Roman" w:eastAsia="Times New Roman" w:hAnsi="Times New Roman" w:cs="Times New Roman"/>
          <w:i/>
          <w:iCs/>
          <w:color w:val="000000"/>
          <w:spacing w:val="0"/>
          <w:w w:val="100"/>
          <w:position w:val="0"/>
          <w:shd w:val="clear" w:color="auto" w:fill="auto"/>
          <w:lang w:val="en-US" w:eastAsia="en-US" w:bidi="en-US"/>
        </w:rPr>
        <w:t>Pantheisticon.</w:t>
      </w:r>
    </w:p>
    <w:p>
      <w:pPr>
        <w:pStyle w:val="Style3"/>
        <w:keepNext w:val="0"/>
        <w:keepLines w:val="0"/>
        <w:widowControl w:val="0"/>
        <w:shd w:val="clear" w:color="auto" w:fill="auto"/>
        <w:bidi w:val="0"/>
        <w:spacing w:line="175"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Toland is generally classed with the deists, but at the time when he wrote </w:t>
      </w:r>
      <w:r>
        <w:rPr>
          <w:rFonts w:ascii="Times New Roman" w:eastAsia="Times New Roman" w:hAnsi="Times New Roman" w:cs="Times New Roman"/>
          <w:i/>
          <w:iCs/>
          <w:color w:val="000000"/>
          <w:spacing w:val="0"/>
          <w:w w:val="100"/>
          <w:position w:val="0"/>
          <w:shd w:val="clear" w:color="auto" w:fill="auto"/>
          <w:lang w:val="en-US" w:eastAsia="en-US" w:bidi="en-US"/>
        </w:rPr>
        <w:t>Christianity not Mysterious</w:t>
      </w:r>
      <w:r>
        <w:rPr>
          <w:rFonts w:ascii="Times New Roman" w:eastAsia="Times New Roman" w:hAnsi="Times New Roman" w:cs="Times New Roman"/>
          <w:color w:val="000000"/>
          <w:spacing w:val="0"/>
          <w:w w:val="100"/>
          <w:position w:val="0"/>
          <w:shd w:val="clear" w:color="auto" w:fill="auto"/>
          <w:lang w:val="en-US" w:eastAsia="en-US" w:bidi="en-US"/>
        </w:rPr>
        <w:t xml:space="preserve"> he was decidedly opposed to deism. The design of the work was to show, by an appeal mainly to the tribunal of Scripture, that there are no facts or doctrines of the “Gospel,” or the “Scriptures,” or “ Christian revelation," which, when revealed, are not perfectly plain, intelligible and reasonable, being neither contrary to reason nor incomprehensible to it. It was intended to be the first of three discourses, in the second of which he was to attempt a particular and rational explanation of the reputed mysteries of the gospel, and in the third a demonstra</w:t>
        <w:softHyphen/>
        <w:t xml:space="preserve">tion of the verity of Divine revelation against atheists and all enemies of revealed religion. After his </w:t>
      </w:r>
      <w:r>
        <w:rPr>
          <w:rFonts w:ascii="Times New Roman" w:eastAsia="Times New Roman" w:hAnsi="Times New Roman" w:cs="Times New Roman"/>
          <w:i/>
          <w:iCs/>
          <w:color w:val="000000"/>
          <w:spacing w:val="0"/>
          <w:w w:val="100"/>
          <w:position w:val="0"/>
          <w:shd w:val="clear" w:color="auto" w:fill="auto"/>
          <w:lang w:val="en-US" w:eastAsia="en-US" w:bidi="en-US"/>
        </w:rPr>
        <w:t>Christianity not Mysterious</w:t>
      </w:r>
      <w:r>
        <w:rPr>
          <w:rFonts w:ascii="Times New Roman" w:eastAsia="Times New Roman" w:hAnsi="Times New Roman" w:cs="Times New Roman"/>
          <w:color w:val="000000"/>
          <w:spacing w:val="0"/>
          <w:w w:val="100"/>
          <w:position w:val="0"/>
          <w:shd w:val="clear" w:color="auto" w:fill="auto"/>
          <w:lang w:val="en-US" w:eastAsia="en-US" w:bidi="en-US"/>
        </w:rPr>
        <w:t xml:space="preserve"> and his </w:t>
      </w:r>
      <w:r>
        <w:rPr>
          <w:rFonts w:ascii="Times New Roman" w:eastAsia="Times New Roman" w:hAnsi="Times New Roman" w:cs="Times New Roman"/>
          <w:i/>
          <w:iCs/>
          <w:color w:val="000000"/>
          <w:spacing w:val="0"/>
          <w:w w:val="100"/>
          <w:position w:val="0"/>
          <w:shd w:val="clear" w:color="auto" w:fill="auto"/>
          <w:lang w:val="en-US" w:eastAsia="en-US" w:bidi="en-US"/>
        </w:rPr>
        <w:t>Amyntor,</w:t>
      </w:r>
      <w:r>
        <w:rPr>
          <w:rFonts w:ascii="Times New Roman" w:eastAsia="Times New Roman" w:hAnsi="Times New Roman" w:cs="Times New Roman"/>
          <w:color w:val="000000"/>
          <w:spacing w:val="0"/>
          <w:w w:val="100"/>
          <w:position w:val="0"/>
          <w:shd w:val="clear" w:color="auto" w:fill="auto"/>
          <w:lang w:val="en-US" w:eastAsia="en-US" w:bidi="en-US"/>
        </w:rPr>
        <w:t xml:space="preserve"> Toland’s </w:t>
      </w:r>
      <w:r>
        <w:rPr>
          <w:rFonts w:ascii="Times New Roman" w:eastAsia="Times New Roman" w:hAnsi="Times New Roman" w:cs="Times New Roman"/>
          <w:i/>
          <w:iCs/>
          <w:color w:val="000000"/>
          <w:spacing w:val="0"/>
          <w:w w:val="100"/>
          <w:position w:val="0"/>
          <w:shd w:val="clear" w:color="auto" w:fill="auto"/>
          <w:lang w:val="en-US" w:eastAsia="en-US" w:bidi="en-US"/>
        </w:rPr>
        <w:t>Nazarenus</w:t>
      </w:r>
      <w:r>
        <w:rPr>
          <w:rFonts w:ascii="Times New Roman" w:eastAsia="Times New Roman" w:hAnsi="Times New Roman" w:cs="Times New Roman"/>
          <w:color w:val="000000"/>
          <w:spacing w:val="0"/>
          <w:w w:val="100"/>
          <w:position w:val="0"/>
          <w:shd w:val="clear" w:color="auto" w:fill="auto"/>
          <w:lang w:val="en-US" w:eastAsia="en-US" w:bidi="en-US"/>
        </w:rPr>
        <w:t xml:space="preserve"> was of chief importance, as calling attention to the right of the Ebionites to a place in the early church, though it altogether failed to establish his main argument or to put the question in the true light. His </w:t>
      </w:r>
      <w:r>
        <w:rPr>
          <w:rFonts w:ascii="Times New Roman" w:eastAsia="Times New Roman" w:hAnsi="Times New Roman" w:cs="Times New Roman"/>
          <w:i/>
          <w:iCs/>
          <w:color w:val="000000"/>
          <w:spacing w:val="0"/>
          <w:w w:val="100"/>
          <w:position w:val="0"/>
          <w:shd w:val="clear" w:color="auto" w:fill="auto"/>
          <w:lang w:val="en-US" w:eastAsia="en-US" w:bidi="en-US"/>
        </w:rPr>
        <w:t>Pantheisticon, sive formula celebrandae sodalilatis socraticae,</w:t>
      </w:r>
      <w:r>
        <w:rPr>
          <w:rFonts w:ascii="Times New Roman" w:eastAsia="Times New Roman" w:hAnsi="Times New Roman" w:cs="Times New Roman"/>
          <w:color w:val="000000"/>
          <w:spacing w:val="0"/>
          <w:w w:val="100"/>
          <w:position w:val="0"/>
          <w:shd w:val="clear" w:color="auto" w:fill="auto"/>
          <w:lang w:val="en-US" w:eastAsia="en-US" w:bidi="en-US"/>
        </w:rPr>
        <w:t xml:space="preserve"> of which he printed a few copies for private circulation only, gave great offence as a sort of </w:t>
      </w:r>
      <w:r>
        <w:rPr>
          <w:rFonts w:ascii="Times New Roman" w:eastAsia="Times New Roman" w:hAnsi="Times New Roman" w:cs="Times New Roman"/>
          <w:color w:val="000000"/>
          <w:spacing w:val="0"/>
          <w:w w:val="100"/>
          <w:position w:val="0"/>
          <w:shd w:val="clear" w:color="auto" w:fill="auto"/>
          <w:lang w:val="fr-FR" w:eastAsia="fr-FR" w:bidi="fr-FR"/>
        </w:rPr>
        <w:t xml:space="preserve">liturgie </w:t>
      </w:r>
      <w:r>
        <w:rPr>
          <w:rFonts w:ascii="Times New Roman" w:eastAsia="Times New Roman" w:hAnsi="Times New Roman" w:cs="Times New Roman"/>
          <w:color w:val="000000"/>
          <w:spacing w:val="0"/>
          <w:w w:val="100"/>
          <w:position w:val="0"/>
          <w:shd w:val="clear" w:color="auto" w:fill="auto"/>
          <w:lang w:val="en-US" w:eastAsia="en-US" w:bidi="en-US"/>
        </w:rPr>
        <w:t>service made up of passages from heathen authors, in imitation of the Church of England liturgy. The title also was in those days alarming, and still more so the mystery which the author threw round the question how far such societies of pantheists actually existed.</w:t>
      </w:r>
    </w:p>
    <w:p>
      <w:pPr>
        <w:pStyle w:val="Style3"/>
        <w:keepNext w:val="0"/>
        <w:keepLines w:val="0"/>
        <w:widowControl w:val="0"/>
        <w:shd w:val="clear" w:color="auto" w:fill="auto"/>
        <w:bidi w:val="0"/>
        <w:spacing w:line="175"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See Mosheim’s </w:t>
      </w:r>
      <w:r>
        <w:rPr>
          <w:rFonts w:ascii="Times New Roman" w:eastAsia="Times New Roman" w:hAnsi="Times New Roman" w:cs="Times New Roman"/>
          <w:i/>
          <w:iCs/>
          <w:color w:val="000000"/>
          <w:spacing w:val="0"/>
          <w:w w:val="100"/>
          <w:position w:val="0"/>
          <w:shd w:val="clear" w:color="auto" w:fill="auto"/>
          <w:lang w:val="en-US" w:eastAsia="en-US" w:bidi="en-US"/>
        </w:rPr>
        <w:t xml:space="preserve">Vindiciae anliquae christianorum disciplinae </w:t>
      </w:r>
      <w:r>
        <w:rPr>
          <w:rFonts w:ascii="Times New Roman" w:eastAsia="Times New Roman" w:hAnsi="Times New Roman" w:cs="Times New Roman"/>
          <w:color w:val="000000"/>
          <w:spacing w:val="0"/>
          <w:w w:val="100"/>
          <w:position w:val="0"/>
          <w:shd w:val="clear" w:color="auto" w:fill="auto"/>
          <w:lang w:val="en-US" w:eastAsia="en-US" w:bidi="en-US"/>
        </w:rPr>
        <w:t xml:space="preserve">(1722), containing the most exhaustive account of Toland's life and writings; a </w:t>
      </w:r>
      <w:r>
        <w:rPr>
          <w:rFonts w:ascii="Times New Roman" w:eastAsia="Times New Roman" w:hAnsi="Times New Roman" w:cs="Times New Roman"/>
          <w:i/>
          <w:iCs/>
          <w:color w:val="000000"/>
          <w:spacing w:val="0"/>
          <w:w w:val="100"/>
          <w:position w:val="0"/>
          <w:shd w:val="clear" w:color="auto" w:fill="auto"/>
          <w:lang w:val="en-US" w:eastAsia="en-US" w:bidi="en-US"/>
        </w:rPr>
        <w:t>Life of Toland</w:t>
      </w:r>
      <w:r>
        <w:rPr>
          <w:rFonts w:ascii="Times New Roman" w:eastAsia="Times New Roman" w:hAnsi="Times New Roman" w:cs="Times New Roman"/>
          <w:color w:val="000000"/>
          <w:spacing w:val="0"/>
          <w:w w:val="100"/>
          <w:position w:val="0"/>
          <w:shd w:val="clear" w:color="auto" w:fill="auto"/>
          <w:lang w:val="en-US" w:eastAsia="en-US" w:bidi="en-US"/>
        </w:rPr>
        <w:t xml:space="preserve"> (1722), by “ one of his most intimate friends ”;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Memoirs of the Life and Writings of Mr John Toland," by Des Maizeaux, prefixed to </w:t>
      </w:r>
      <w:r>
        <w:rPr>
          <w:rFonts w:ascii="Times New Roman" w:eastAsia="Times New Roman" w:hAnsi="Times New Roman" w:cs="Times New Roman"/>
          <w:i/>
          <w:iCs/>
          <w:color w:val="000000"/>
          <w:spacing w:val="0"/>
          <w:w w:val="100"/>
          <w:position w:val="0"/>
          <w:shd w:val="clear" w:color="auto" w:fill="auto"/>
          <w:lang w:val="en-US" w:eastAsia="en-US" w:bidi="en-US"/>
        </w:rPr>
        <w:t>The Miscellaneous Works of Mr John Toland</w:t>
      </w:r>
      <w:r>
        <w:rPr>
          <w:rFonts w:ascii="Times New Roman" w:eastAsia="Times New Roman" w:hAnsi="Times New Roman" w:cs="Times New Roman"/>
          <w:color w:val="000000"/>
          <w:spacing w:val="0"/>
          <w:w w:val="100"/>
          <w:position w:val="0"/>
          <w:shd w:val="clear" w:color="auto" w:fill="auto"/>
          <w:lang w:val="en-US" w:eastAsia="en-US" w:bidi="en-US"/>
        </w:rPr>
        <w:t xml:space="preserve"> (London, 1747) ; John Leland’s </w:t>
      </w:r>
      <w:r>
        <w:rPr>
          <w:rFonts w:ascii="Times New Roman" w:eastAsia="Times New Roman" w:hAnsi="Times New Roman" w:cs="Times New Roman"/>
          <w:i/>
          <w:iCs/>
          <w:color w:val="000000"/>
          <w:spacing w:val="0"/>
          <w:w w:val="100"/>
          <w:position w:val="0"/>
          <w:shd w:val="clear" w:color="auto" w:fill="auto"/>
          <w:lang w:val="en-US" w:eastAsia="en-US" w:bidi="en-US"/>
        </w:rPr>
        <w:t>Viewof the Principal Deislical Writers</w:t>
      </w:r>
      <w:r>
        <w:rPr>
          <w:rFonts w:ascii="Times New Roman" w:eastAsia="Times New Roman" w:hAnsi="Times New Roman" w:cs="Times New Roman"/>
          <w:color w:val="000000"/>
          <w:spacing w:val="0"/>
          <w:w w:val="100"/>
          <w:position w:val="0"/>
          <w:shd w:val="clear" w:color="auto" w:fill="auto"/>
          <w:lang w:val="en-US" w:eastAsia="en-US" w:bidi="en-US"/>
        </w:rPr>
        <w:t xml:space="preserve"> (last ed. 1837); </w:t>
      </w:r>
      <w:r>
        <w:rPr>
          <w:rFonts w:ascii="Times New Roman" w:eastAsia="Times New Roman" w:hAnsi="Times New Roman" w:cs="Times New Roman"/>
          <w:color w:val="000000"/>
          <w:spacing w:val="0"/>
          <w:w w:val="100"/>
          <w:position w:val="0"/>
          <w:shd w:val="clear" w:color="auto" w:fill="auto"/>
          <w:lang w:val="fr-FR" w:eastAsia="fr-FR" w:bidi="fr-FR"/>
        </w:rPr>
        <w:t xml:space="preserve">G. </w:t>
      </w:r>
      <w:r>
        <w:rPr>
          <w:rFonts w:ascii="Times New Roman" w:eastAsia="Times New Roman" w:hAnsi="Times New Roman" w:cs="Times New Roman"/>
          <w:color w:val="000000"/>
          <w:spacing w:val="0"/>
          <w:w w:val="100"/>
          <w:position w:val="0"/>
          <w:shd w:val="clear" w:color="auto" w:fill="auto"/>
          <w:lang w:val="en-US" w:eastAsia="en-US" w:bidi="en-US"/>
        </w:rPr>
        <w:t xml:space="preserve">V. Lechler’s </w:t>
      </w:r>
      <w:r>
        <w:rPr>
          <w:rFonts w:ascii="Times New Roman" w:eastAsia="Times New Roman" w:hAnsi="Times New Roman" w:cs="Times New Roman"/>
          <w:i/>
          <w:iCs/>
          <w:color w:val="000000"/>
          <w:spacing w:val="0"/>
          <w:w w:val="100"/>
          <w:position w:val="0"/>
          <w:shd w:val="clear" w:color="auto" w:fill="auto"/>
          <w:lang w:val="de-DE" w:eastAsia="de-DE" w:bidi="de-DE"/>
        </w:rPr>
        <w:t>Geschichte des englischen Deismus</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(1841); Isaac Disraeli’s </w:t>
      </w:r>
      <w:r>
        <w:rPr>
          <w:rFonts w:ascii="Times New Roman" w:eastAsia="Times New Roman" w:hAnsi="Times New Roman" w:cs="Times New Roman"/>
          <w:i/>
          <w:iCs/>
          <w:color w:val="000000"/>
          <w:spacing w:val="0"/>
          <w:w w:val="100"/>
          <w:position w:val="0"/>
          <w:shd w:val="clear" w:color="auto" w:fill="auto"/>
          <w:lang w:val="en-US" w:eastAsia="en-US" w:bidi="en-US"/>
        </w:rPr>
        <w:t>Calamities of Authors</w:t>
      </w:r>
      <w:r>
        <w:rPr>
          <w:rFonts w:ascii="Times New Roman" w:eastAsia="Times New Roman" w:hAnsi="Times New Roman" w:cs="Times New Roman"/>
          <w:color w:val="000000"/>
          <w:spacing w:val="0"/>
          <w:w w:val="100"/>
          <w:position w:val="0"/>
          <w:shd w:val="clear" w:color="auto" w:fill="auto"/>
          <w:lang w:val="en-US" w:eastAsia="en-US" w:bidi="en-US"/>
        </w:rPr>
        <w:t xml:space="preserve"> (new ed., 1881) ; artιelc on “ The English Freethinkers " in </w:t>
      </w:r>
      <w:r>
        <w:rPr>
          <w:rFonts w:ascii="Times New Roman" w:eastAsia="Times New Roman" w:hAnsi="Times New Roman" w:cs="Times New Roman"/>
          <w:i/>
          <w:iCs/>
          <w:color w:val="000000"/>
          <w:spacing w:val="0"/>
          <w:w w:val="100"/>
          <w:position w:val="0"/>
          <w:shd w:val="clear" w:color="auto" w:fill="auto"/>
          <w:lang w:val="en-US" w:eastAsia="en-US" w:bidi="en-US"/>
        </w:rPr>
        <w:t xml:space="preserve">Theological Review, </w:t>
      </w:r>
      <w:r>
        <w:rPr>
          <w:rFonts w:ascii="Times New Roman" w:eastAsia="Times New Roman" w:hAnsi="Times New Roman" w:cs="Times New Roman"/>
          <w:color w:val="000000"/>
          <w:spacing w:val="0"/>
          <w:w w:val="100"/>
          <w:position w:val="0"/>
          <w:shd w:val="clear" w:color="auto" w:fill="auto"/>
          <w:lang w:val="en-US" w:eastAsia="en-US" w:bidi="en-US"/>
        </w:rPr>
        <w:t xml:space="preserve">No. 5 (November, 1864); J. Hunt, in </w:t>
      </w:r>
      <w:r>
        <w:rPr>
          <w:rFonts w:ascii="Times New Roman" w:eastAsia="Times New Roman" w:hAnsi="Times New Roman" w:cs="Times New Roman"/>
          <w:i/>
          <w:iCs/>
          <w:color w:val="000000"/>
          <w:spacing w:val="0"/>
          <w:w w:val="100"/>
          <w:position w:val="0"/>
          <w:shd w:val="clear" w:color="auto" w:fill="auto"/>
          <w:lang w:val="en-US" w:eastAsia="en-US" w:bidi="en-US"/>
        </w:rPr>
        <w:t>Contemporary Review,</w:t>
      </w:r>
      <w:r>
        <w:rPr>
          <w:rFonts w:ascii="Times New Roman" w:eastAsia="Times New Roman" w:hAnsi="Times New Roman" w:cs="Times New Roman"/>
          <w:color w:val="000000"/>
          <w:spacing w:val="0"/>
          <w:w w:val="100"/>
          <w:position w:val="0"/>
          <w:shd w:val="clear" w:color="auto" w:fill="auto"/>
          <w:lang w:val="en-US" w:eastAsia="en-US" w:bidi="en-US"/>
        </w:rPr>
        <w:t xml:space="preserve"> No. 6, June 1868, and his </w:t>
      </w:r>
      <w:r>
        <w:rPr>
          <w:rFonts w:ascii="Times New Roman" w:eastAsia="Times New Roman" w:hAnsi="Times New Roman" w:cs="Times New Roman"/>
          <w:i/>
          <w:iCs/>
          <w:color w:val="000000"/>
          <w:spacing w:val="0"/>
          <w:w w:val="100"/>
          <w:position w:val="0"/>
          <w:shd w:val="clear" w:color="auto" w:fill="auto"/>
          <w:lang w:val="en-US" w:eastAsia="en-US" w:bidi="en-US"/>
        </w:rPr>
        <w:t>Religious Thought in England</w:t>
      </w:r>
      <w:r>
        <w:rPr>
          <w:rFonts w:ascii="Times New Roman" w:eastAsia="Times New Roman" w:hAnsi="Times New Roman" w:cs="Times New Roman"/>
          <w:color w:val="000000"/>
          <w:spacing w:val="0"/>
          <w:w w:val="100"/>
          <w:position w:val="0"/>
          <w:shd w:val="clear" w:color="auto" w:fill="auto"/>
          <w:lang w:val="en-US" w:eastAsia="en-US" w:bidi="en-US"/>
        </w:rPr>
        <w:t xml:space="preserve"> (1870-1873); Leslie Stephen’s </w:t>
      </w:r>
      <w:r>
        <w:rPr>
          <w:rFonts w:ascii="Times New Roman" w:eastAsia="Times New Roman" w:hAnsi="Times New Roman" w:cs="Times New Roman"/>
          <w:i/>
          <w:iCs/>
          <w:color w:val="000000"/>
          <w:spacing w:val="0"/>
          <w:w w:val="100"/>
          <w:position w:val="0"/>
          <w:shd w:val="clear" w:color="auto" w:fill="auto"/>
          <w:lang w:val="en-US" w:eastAsia="en-US" w:bidi="en-US"/>
        </w:rPr>
        <w:t xml:space="preserve">History of English Thought in the Eighteenth Century, </w:t>
      </w:r>
      <w:r>
        <w:rPr>
          <w:rFonts w:ascii="Times New Roman" w:eastAsia="Times New Roman" w:hAnsi="Times New Roman" w:cs="Times New Roman"/>
          <w:color w:val="000000"/>
          <w:spacing w:val="0"/>
          <w:w w:val="100"/>
          <w:position w:val="0"/>
          <w:shd w:val="clear" w:color="auto" w:fill="auto"/>
          <w:lang w:val="en-US" w:eastAsia="en-US" w:bidi="en-US"/>
        </w:rPr>
        <w:t xml:space="preserve">vol. i. (1881), and article in </w:t>
      </w:r>
      <w:r>
        <w:rPr>
          <w:rFonts w:ascii="Times New Roman" w:eastAsia="Times New Roman" w:hAnsi="Times New Roman" w:cs="Times New Roman"/>
          <w:i/>
          <w:iCs/>
          <w:color w:val="000000"/>
          <w:spacing w:val="0"/>
          <w:w w:val="100"/>
          <w:position w:val="0"/>
          <w:shd w:val="clear" w:color="auto" w:fill="auto"/>
          <w:lang w:val="en-US" w:eastAsia="en-US" w:bidi="en-US"/>
        </w:rPr>
        <w:t xml:space="preserve">Dictionary of National Biography; </w:t>
      </w:r>
      <w:r>
        <w:rPr>
          <w:rFonts w:ascii="Times New Roman" w:eastAsia="Times New Roman" w:hAnsi="Times New Roman" w:cs="Times New Roman"/>
          <w:color w:val="000000"/>
          <w:spacing w:val="0"/>
          <w:w w:val="100"/>
          <w:position w:val="0"/>
          <w:shd w:val="clear" w:color="auto" w:fill="auto"/>
          <w:lang w:val="en-US" w:eastAsia="en-US" w:bidi="en-US"/>
        </w:rPr>
        <w:t xml:space="preserve">J. Cairns’s </w:t>
      </w:r>
      <w:r>
        <w:rPr>
          <w:rFonts w:ascii="Times New Roman" w:eastAsia="Times New Roman" w:hAnsi="Times New Roman" w:cs="Times New Roman"/>
          <w:i/>
          <w:iCs/>
          <w:color w:val="000000"/>
          <w:spacing w:val="0"/>
          <w:w w:val="100"/>
          <w:position w:val="0"/>
          <w:shd w:val="clear" w:color="auto" w:fill="auto"/>
          <w:lang w:val="en-US" w:eastAsia="en-US" w:bidi="en-US"/>
        </w:rPr>
        <w:t>Unbelief in the Eighteenth Century</w:t>
      </w:r>
      <w:r>
        <w:rPr>
          <w:rFonts w:ascii="Times New Roman" w:eastAsia="Times New Roman" w:hAnsi="Times New Roman" w:cs="Times New Roman"/>
          <w:color w:val="000000"/>
          <w:spacing w:val="0"/>
          <w:w w:val="100"/>
          <w:position w:val="0"/>
          <w:shd w:val="clear" w:color="auto" w:fill="auto"/>
          <w:lang w:val="en-US" w:eastAsia="en-US" w:bidi="en-US"/>
        </w:rPr>
        <w:t xml:space="preserve"> (1881). On Toland’s relation to the subsequent Tübingen school, as presented in his </w:t>
      </w:r>
      <w:r>
        <w:rPr>
          <w:rFonts w:ascii="Times New Roman" w:eastAsia="Times New Roman" w:hAnsi="Times New Roman" w:cs="Times New Roman"/>
          <w:i/>
          <w:iCs/>
          <w:color w:val="000000"/>
          <w:spacing w:val="0"/>
          <w:w w:val="100"/>
          <w:position w:val="0"/>
          <w:shd w:val="clear" w:color="auto" w:fill="auto"/>
          <w:lang w:val="en-US" w:eastAsia="en-US" w:bidi="en-US"/>
        </w:rPr>
        <w:t>Nazarenus,</w:t>
      </w:r>
      <w:r>
        <w:rPr>
          <w:rFonts w:ascii="Times New Roman" w:eastAsia="Times New Roman" w:hAnsi="Times New Roman" w:cs="Times New Roman"/>
          <w:color w:val="000000"/>
          <w:spacing w:val="0"/>
          <w:w w:val="100"/>
          <w:position w:val="0"/>
          <w:shd w:val="clear" w:color="auto" w:fill="auto"/>
          <w:lang w:val="en-US" w:eastAsia="en-US" w:bidi="en-US"/>
        </w:rPr>
        <w:t xml:space="preserve"> see D. Patrick in </w:t>
      </w:r>
      <w:r>
        <w:rPr>
          <w:rFonts w:ascii="Times New Roman" w:eastAsia="Times New Roman" w:hAnsi="Times New Roman" w:cs="Times New Roman"/>
          <w:i/>
          <w:iCs/>
          <w:color w:val="000000"/>
          <w:spacing w:val="0"/>
          <w:w w:val="100"/>
          <w:position w:val="0"/>
          <w:shd w:val="clear" w:color="auto" w:fill="auto"/>
          <w:lang w:val="en-US" w:eastAsia="en-US" w:bidi="en-US"/>
        </w:rPr>
        <w:t>Theological Review,</w:t>
      </w:r>
      <w:r>
        <w:rPr>
          <w:rFonts w:ascii="Times New Roman" w:eastAsia="Times New Roman" w:hAnsi="Times New Roman" w:cs="Times New Roman"/>
          <w:color w:val="000000"/>
          <w:spacing w:val="0"/>
          <w:w w:val="100"/>
          <w:position w:val="0"/>
          <w:shd w:val="clear" w:color="auto" w:fill="auto"/>
          <w:lang w:val="en-US" w:eastAsia="en-US" w:bidi="en-US"/>
        </w:rPr>
        <w:t xml:space="preserve"> No. 59 (October, 1877); and on his relation to materialism, F. A. Lange’s </w:t>
      </w:r>
      <w:r>
        <w:rPr>
          <w:rFonts w:ascii="Times New Roman" w:eastAsia="Times New Roman" w:hAnsi="Times New Roman" w:cs="Times New Roman"/>
          <w:i/>
          <w:iCs/>
          <w:color w:val="000000"/>
          <w:spacing w:val="0"/>
          <w:w w:val="100"/>
          <w:position w:val="0"/>
          <w:shd w:val="clear" w:color="auto" w:fill="auto"/>
          <w:lang w:val="de-DE" w:eastAsia="de-DE" w:bidi="de-DE"/>
        </w:rPr>
        <w:t>Geschichte des Materialismus</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(Eng. trans, by E. C. Thomas, 1877), and also G. Berthold, </w:t>
      </w:r>
      <w:r>
        <w:rPr>
          <w:rFonts w:ascii="Times New Roman" w:eastAsia="Times New Roman" w:hAnsi="Times New Roman" w:cs="Times New Roman"/>
          <w:i/>
          <w:iCs/>
          <w:color w:val="000000"/>
          <w:spacing w:val="0"/>
          <w:w w:val="100"/>
          <w:position w:val="0"/>
          <w:shd w:val="clear" w:color="auto" w:fill="auto"/>
          <w:lang w:val="en-US" w:eastAsia="en-US" w:bidi="en-US"/>
        </w:rPr>
        <w:t xml:space="preserve">John Toland </w:t>
      </w:r>
      <w:r>
        <w:rPr>
          <w:rFonts w:ascii="Times New Roman" w:eastAsia="Times New Roman" w:hAnsi="Times New Roman" w:cs="Times New Roman"/>
          <w:i/>
          <w:iCs/>
          <w:color w:val="000000"/>
          <w:spacing w:val="0"/>
          <w:w w:val="100"/>
          <w:position w:val="0"/>
          <w:shd w:val="clear" w:color="auto" w:fill="auto"/>
          <w:lang w:val="de-DE" w:eastAsia="de-DE" w:bidi="de-DE"/>
        </w:rPr>
        <w:t>und der Monismus der Gegenwart</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(1876).</w:t>
      </w:r>
    </w:p>
    <w:p>
      <w:pPr>
        <w:pStyle w:val="Style3"/>
        <w:keepNext w:val="0"/>
        <w:keepLines w:val="0"/>
        <w:widowControl w:val="0"/>
        <w:shd w:val="clear" w:color="auto" w:fill="auto"/>
        <w:bidi w:val="0"/>
        <w:spacing w:line="206" w:lineRule="auto"/>
        <w:ind w:left="0" w:firstLine="360"/>
        <w:jc w:val="left"/>
        <w:rPr>
          <w:sz w:val="19"/>
          <w:szCs w:val="19"/>
        </w:rPr>
      </w:pPr>
      <w:r>
        <w:rPr>
          <w:rFonts w:ascii="Times New Roman" w:eastAsia="Times New Roman" w:hAnsi="Times New Roman" w:cs="Times New Roman"/>
          <w:b/>
          <w:bCs/>
          <w:color w:val="000000"/>
          <w:spacing w:val="0"/>
          <w:w w:val="100"/>
          <w:position w:val="0"/>
          <w:sz w:val="18"/>
          <w:szCs w:val="18"/>
          <w:shd w:val="clear" w:color="auto" w:fill="auto"/>
          <w:lang w:val="de-DE" w:eastAsia="de-DE" w:bidi="de-DE"/>
        </w:rPr>
        <w:t xml:space="preserve">TOLEDO,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a province of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central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Spain, formed in 1833 from part of New Castile; bounded on the N. by Avila and Madrid, E. by Cuenca, S. by Ciudad Real and W. by Cáceres. Pop. (1900), 376,814; area 5919 sq. m. The surface is throughout lofty, and in a great part of its extent mountainous. Towards the centre there are extensive plains or tablelands, but the whole of the south and east is occupied by the Montes de Toledo, and the hills which separate the waters of the Tagus on the north from those of the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Guadiana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on the south. These mountains are of no great height; until late in the 19th century they were densely covered with forests. Toledo is well watered by the Tagus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(q.v.)</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and its numerous aflluents, including the Guadarrama and Alberche on the north and the Algodor, Torcon, Pusa and Sangrera on the south. The Giguela waters the eastern districts. Gold, silver, lead, iron, quicksilver, copper, tin and other minerals have been discovered, but the mining industry does not prosper and there is little export trade in agricultural products. The number of sheep, goats, asses and mules is large; dairy-farming and the breeding of draught oxen and fighting bulls are also practised. Bees and silkworms are kept in considerable number. Manufactures once flourished, but now silk and woollen cloth, earthenware, soap, oil, chocolates, wine, rough spirit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(aguardiente),</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guitar strings and arms are almost the only articles made. There is also a small trade in charcoal and timber. The province is traversed by three lines of railway—that of Madrid-Seville-Cadiz in the east, Madrid-Toledo-Ciudad Real through the centre, and Madrid-Cáceres-Lisbon in the north.</w:t>
      </w:r>
    </w:p>
    <w:p>
      <w:pPr>
        <w:pStyle w:val="Style3"/>
        <w:keepNext w:val="0"/>
        <w:keepLines w:val="0"/>
        <w:widowControl w:val="0"/>
        <w:shd w:val="clear" w:color="auto" w:fill="auto"/>
        <w:bidi w:val="0"/>
        <w:spacing w:line="206" w:lineRule="auto"/>
        <w:ind w:left="0" w:firstLine="360"/>
        <w:jc w:val="left"/>
        <w:rPr>
          <w:sz w:val="19"/>
          <w:szCs w:val="19"/>
        </w:rPr>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TOLEDO,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the capital of the Spanish province of Toledo and formerly of the whole kingdom, 47 m. by rail S.S.W. of Madrid, on the river Tagus, 2400 ft. above sea-level. Pop (1900), 23,317. Toledo occupies a rugged promontory of granite, washed on all sides except the north by the Tagus, which here flows swiftly through a deep and precipitous gorge. Towards the north the city overlooks the desolate Castilian plateau; beyond the river it is confronted by an ampitheatre of bare mountains, the Montes de Toledo. From a distance it has the aspect of a vast fortress, built of granite, defended by the river and by a double wall on the north, and dominated by the towers of its cathedral and alcázar. The absence of traffic in its maze of dark and winding alleys creates a silence uncommon in sc large a city. There are few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plazas,</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the principal open spaces being the arcaded Zocodover, described by Cervantes in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Novelas ejemplares;</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and some of the finest 'monuments ol antiquity are hemmed in by meaner structures. The houses tall, massive and sombre, are entered by huge iron-studded doors, and, owing to the extremes of heat and cold characteristic of the Castilian plateau, most of their windows open on a sheltered inner court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(patio),</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the walls facing the street being often blank, though their monotony is sometimes relieved by carved Gothic or Moorish stonework. Nowhere, even in Spain have the appearance and atmosphere of a Gothic city beer</w:t>
      </w:r>
    </w:p>
    <w:sectPr>
      <w:footnotePr>
        <w:pos w:val="pageBottom"/>
        <w:numFmt w:val="decimal"/>
        <w:numRestart w:val="continuous"/>
      </w:footnotePr>
      <w:pgSz w:w="12240" w:h="15840"/>
      <w:pgMar w:top="858" w:left="798" w:right="701"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