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to draw it out. This part of the proceſs is per</w:t>
        <w:softHyphen/>
        <w:t xml:space="preserve">formed by raking the ſalt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fide of the pan into a long heap, where it drains a while from the brine, and is then filled out into barrows or other proper veſſels, and carried into the ſtore-houſe, and delivered into the cuſtody of his majeſty’s officers. And in this man</w:t>
        <w:softHyphen/>
        <w:t>ner the whole proceſs is performed in 24 hours; the ſalt being uſually drawn every morning.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ſtore-houſe the ſalt is put hot into drabs, which are partitions like ſtalls for horſes, lined on three ſides and at the bottom with boards, and having a ſliding- board on the fore-ſide to put in or draw out as occaſion requires. The bottoms are made ſhelving, being higheſt at the back-ſide, and gradually inclining forwards; by which means the ſaline liquor, which remains mixed with the ſalt, eaſiiy drains from it; and the ſalt, in three or four days, becomes ſufficiently dry; and is then taken out of the drabs, and laid up in large heaps, where it is ready for ſale.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ſaline liquor which drains from the ſalt is not a pure brine of common ſalt, but hath a ſharp and bitter taſte, and is therefore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bittern;</w:t>
      </w:r>
      <w:r>
        <w:rPr>
          <w:rFonts w:ascii="Times New Roman" w:eastAsia="Times New Roman" w:hAnsi="Times New Roman" w:cs="Times New Roman"/>
          <w:color w:val="000000"/>
          <w:spacing w:val="0"/>
          <w:w w:val="100"/>
          <w:position w:val="0"/>
          <w:shd w:val="clear" w:color="auto" w:fill="auto"/>
          <w:lang w:val="en-US" w:eastAsia="en-US" w:bidi="en-US"/>
        </w:rPr>
        <w:t xml:space="preserve"> this liquor, at ſome works, they ſave for particular uſes, at others throw away. A conſiderable quantity of this bittern is left at the bottom of the pan after the proceſs is finiſhed; which, as it contains much ſalt, they ſuffer to remain in the pan, when it is filled up with ſea-water. But at each proceſs this liquor becomes more ſharp and bitter, and alſo increaſes in quantity: ſo that, after the third or fourth proceſs is finiſhed, they are obliged to take it out of the pan; otherwiſe it mixes in ſuch quantities with the ſalt, as to give it a bitter taſte, and diſpoſes it to grow ſoft and run in the open air, and renders it un</w:t>
        <w:softHyphen/>
        <w:t>fit for domeſtic uſes.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each proceſs there alſo adheres to the bottom and ſides of the pan a white ſtony cruſt, of the ſame calcareous ſubſtance with that before collected from the boiling liquor. This the operators call</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one-</w:t>
      </w:r>
      <w:r>
        <w:rPr>
          <w:rStyle w:val="CharStyle5"/>
          <w:i/>
          <w:iCs/>
          <w:color w:val="000000"/>
          <w:sz w:val="18"/>
          <w:szCs w:val="18"/>
          <w:lang w:val="en-US" w:eastAsia="en-US" w:bidi="en-US"/>
        </w:rPr>
        <w:t>ſc</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ratch,</w:t>
      </w:r>
      <w:r>
        <w:rPr>
          <w:rFonts w:ascii="Times New Roman" w:eastAsia="Times New Roman" w:hAnsi="Times New Roman" w:cs="Times New Roman"/>
          <w:color w:val="000000"/>
          <w:spacing w:val="0"/>
          <w:w w:val="100"/>
          <w:position w:val="0"/>
          <w:shd w:val="clear" w:color="auto" w:fill="auto"/>
          <w:lang w:val="en-US" w:eastAsia="en-US" w:bidi="en-US"/>
        </w:rPr>
        <w:t xml:space="preserve"> diſtinguiſhing the other found in the lead-pans by the name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powder-</w:t>
      </w:r>
      <w:r>
        <w:rPr>
          <w:rStyle w:val="CharStyle5"/>
          <w:i/>
          <w:iCs/>
          <w:color w:val="000000"/>
          <w:sz w:val="18"/>
          <w:szCs w:val="18"/>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cratch.</w:t>
      </w:r>
      <w:r>
        <w:rPr>
          <w:rFonts w:ascii="Times New Roman" w:eastAsia="Times New Roman" w:hAnsi="Times New Roman" w:cs="Times New Roman"/>
          <w:color w:val="000000"/>
          <w:spacing w:val="0"/>
          <w:w w:val="100"/>
          <w:position w:val="0"/>
          <w:shd w:val="clear" w:color="auto" w:fill="auto"/>
          <w:lang w:val="en-US" w:eastAsia="en-US" w:bidi="en-US"/>
        </w:rPr>
        <w:t xml:space="preserve"> Once in eight or ten days they ſeparate the ſtone-ſcratch from their pans with iron picks, and in ſeveral places find it a quarter of an inch in thickneſs. If this ſtony cruſt is ſuffered to adhere to the pan much longer, it grows ſo thick that the pan is burnt by the fire, and quickly wears away.</w:t>
      </w:r>
    </w:p>
    <w:p>
      <w:pPr>
        <w:pStyle w:val="Style11"/>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 </w:t>
      </w:r>
      <w:r>
        <w:rPr>
          <w:rFonts w:ascii="Times New Roman" w:eastAsia="Times New Roman" w:hAnsi="Times New Roman" w:cs="Times New Roman"/>
          <w:color w:val="000000"/>
          <w:spacing w:val="0"/>
          <w:w w:val="100"/>
          <w:position w:val="0"/>
          <w:shd w:val="clear" w:color="auto" w:fill="auto"/>
          <w:lang w:val="fr-FR" w:eastAsia="fr-FR" w:bidi="fr-FR"/>
        </w:rPr>
        <w:t xml:space="preserve">de Pagés’s </w:t>
      </w:r>
      <w:r>
        <w:rPr>
          <w:rFonts w:ascii="Times New Roman" w:eastAsia="Times New Roman" w:hAnsi="Times New Roman" w:cs="Times New Roman"/>
          <w:color w:val="000000"/>
          <w:spacing w:val="0"/>
          <w:w w:val="100"/>
          <w:position w:val="0"/>
          <w:shd w:val="clear" w:color="auto" w:fill="auto"/>
          <w:lang w:val="en-US" w:eastAsia="en-US" w:bidi="en-US"/>
        </w:rPr>
        <w:t>Travels round the World, we find the following important fact. “I had been anxious (</w:t>
      </w:r>
      <w:r>
        <w:rPr>
          <w:rStyle w:val="CharStyle5"/>
          <w:color w:val="00000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 xml:space="preserve">ys that author) to aſcertain by compariſon, whether ſea-water contains felt in greater quantity under the torrid than under the other zones; and my experiments on this ſubject ſerved to </w:t>
      </w:r>
      <w:r>
        <w:rPr>
          <w:rStyle w:val="CharStyle5"/>
          <w:color w:val="000000"/>
          <w:sz w:val="18"/>
          <w:szCs w:val="18"/>
          <w:lang w:val="en-US" w:eastAsia="en-US" w:bidi="en-US"/>
        </w:rPr>
        <w:t>ſho</w:t>
      </w:r>
      <w:r>
        <w:rPr>
          <w:rFonts w:ascii="Times New Roman" w:eastAsia="Times New Roman" w:hAnsi="Times New Roman" w:cs="Times New Roman"/>
          <w:color w:val="000000"/>
          <w:spacing w:val="0"/>
          <w:w w:val="100"/>
          <w:position w:val="0"/>
          <w:shd w:val="clear" w:color="auto" w:fill="auto"/>
          <w:lang w:val="en-US" w:eastAsia="en-US" w:bidi="en-US"/>
        </w:rPr>
        <w:t>w, contrary to what I ex</w:t>
        <w:softHyphen/>
        <w:t xml:space="preserve">pected, that ſea-water is impregnated with </w:t>
      </w:r>
      <w:r>
        <w:rPr>
          <w:rStyle w:val="CharStyle5"/>
          <w:color w:val="00000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lt in leſs quantity within than without the tropics. ” Theſe ex</w:t>
        <w:softHyphen/>
        <w:t>periments were made on a hundred pounds of ſea-wa</w:t>
        <w:softHyphen/>
        <w:t>ter, taken at the depth of ten fathoms, and weighed in water-</w:t>
      </w:r>
      <w:r>
        <w:rPr>
          <w:rStyle w:val="CharStyle5"/>
          <w:color w:val="000000"/>
          <w:sz w:val="18"/>
          <w:szCs w:val="18"/>
          <w:lang w:val="en-US" w:eastAsia="en-US" w:bidi="en-US"/>
        </w:rPr>
        <w:t>ſc</w:t>
      </w:r>
      <w:r>
        <w:rPr>
          <w:rFonts w:ascii="Times New Roman" w:eastAsia="Times New Roman" w:hAnsi="Times New Roman" w:cs="Times New Roman"/>
          <w:color w:val="000000"/>
          <w:spacing w:val="0"/>
          <w:w w:val="100"/>
          <w:position w:val="0"/>
          <w:shd w:val="clear" w:color="auto" w:fill="auto"/>
          <w:lang w:val="en-US" w:eastAsia="en-US" w:bidi="en-US"/>
        </w:rPr>
        <w:t xml:space="preserve">ales.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Pages has given a table of theſe experiments, from which it appears that 100 lb. of ſea- water in 46</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I2'' S. lat. gave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 of </w:t>
      </w:r>
      <w:r>
        <w:rPr>
          <w:rStyle w:val="CharStyle5"/>
          <w:color w:val="00000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lt, and in 1</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 and that in 74 N. lat. it gave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lb. and in 4</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22' only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 theſe being the higheſt and lowe</w:t>
      </w:r>
      <w:r>
        <w:rPr>
          <w:rStyle w:val="CharStyle5"/>
          <w:color w:val="000000"/>
          <w:sz w:val="18"/>
          <w:szCs w:val="18"/>
          <w:lang w:val="en-US" w:eastAsia="en-US" w:bidi="en-US"/>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latitudes in which the experiments were made, and alſo the greateſt and lea</w:t>
      </w:r>
      <w:r>
        <w:rPr>
          <w:rStyle w:val="CharStyle5"/>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quantities of ſalt.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Duty</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on SALT, is a diſtinct branch of his majeſty’s</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extraordinary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revenue, and </w:t>
      </w:r>
      <w:r>
        <w:rPr>
          <w:rFonts w:ascii="Times New Roman" w:eastAsia="Times New Roman" w:hAnsi="Times New Roman" w:cs="Times New Roman"/>
          <w:color w:val="000000"/>
          <w:spacing w:val="0"/>
          <w:w w:val="100"/>
          <w:position w:val="0"/>
          <w:shd w:val="clear" w:color="auto" w:fill="auto"/>
          <w:lang w:val="en-US" w:eastAsia="en-US" w:bidi="en-US"/>
        </w:rPr>
        <w:t xml:space="preserve">confiſts in 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exciſe </w:t>
      </w:r>
      <w:r>
        <w:rPr>
          <w:rFonts w:ascii="Times New Roman" w:eastAsia="Times New Roman" w:hAnsi="Times New Roman" w:cs="Times New Roman"/>
          <w:color w:val="000000"/>
          <w:spacing w:val="0"/>
          <w:w w:val="100"/>
          <w:position w:val="0"/>
          <w:shd w:val="clear" w:color="auto" w:fill="auto"/>
          <w:lang w:val="en-US" w:eastAsia="en-US" w:bidi="en-US"/>
        </w:rPr>
        <w:t>of 3 s, 4 d. per buſhel impoſed upon all ſalt, by ſeveral ſtatutes of King William and other ſubſequent reigns. This is not generally called an exciſe, becauſe under the ma</w:t>
        <w:softHyphen/>
        <w:t>nagement of different commiſſioners: but the commiſſioners of the ſalt-duties have, hy ſtatute 1 Ann, c. 21. the ſame powers, and muſt obſerve the fame regulations, as thoſe of other exciſes. This tax had uſually been only temporary; but by ſtatute 26 Geo. II. c. 3. was made perpetual.</w:t>
      </w:r>
    </w:p>
    <w:p>
      <w:pPr>
        <w:pStyle w:val="Style2"/>
        <w:keepNext w:val="0"/>
        <w:keepLines w:val="0"/>
        <w:widowControl w:val="0"/>
        <w:shd w:val="clear" w:color="auto" w:fill="auto"/>
        <w:bidi w:val="0"/>
        <w:ind w:left="0" w:firstLine="360"/>
        <w:jc w:val="left"/>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Triple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Salts,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ſalts formed by the union of three ingredients; the common neutrals being compoſed only of two. They are but lately diſcovered; and it is chiefly to the induſtry of Mr Bergman that we owe the knowledge we have of them. Sometimes we meet even with ſalts of four ingredients; in which cafe we call the reſulting compounds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quadruple</w:t>
      </w:r>
      <w:r>
        <w:rPr>
          <w:rFonts w:ascii="Times New Roman" w:eastAsia="Times New Roman" w:hAnsi="Times New Roman" w:cs="Times New Roman"/>
          <w:color w:val="000000"/>
          <w:spacing w:val="0"/>
          <w:w w:val="100"/>
          <w:position w:val="0"/>
          <w:shd w:val="clear" w:color="auto" w:fill="auto"/>
          <w:lang w:val="en-US" w:eastAsia="en-US" w:bidi="en-US"/>
        </w:rPr>
        <w:t xml:space="preserve"> ſalts. The moſt remarkable of theſe complicated ſubſtances are the fol</w:t>
        <w:softHyphen/>
        <w:t>lowing.</w:t>
      </w:r>
    </w:p>
    <w:p>
      <w:pPr>
        <w:pStyle w:val="Style2"/>
        <w:keepNext w:val="0"/>
        <w:keepLines w:val="0"/>
        <w:widowControl w:val="0"/>
        <w:numPr>
          <w:ilvl w:val="0"/>
          <w:numId w:val="1"/>
        </w:numPr>
        <w:shd w:val="clear" w:color="auto" w:fill="auto"/>
        <w:tabs>
          <w:tab w:pos="471" w:val="left"/>
        </w:tabs>
        <w:bidi w:val="0"/>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Aphronitrum</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mineral alkali, combined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ſmall quantity of calcareous earth. The three ingre</w:t>
        <w:softHyphen/>
        <w:t>dients here are fixed air, pure alkali, and calcareous earth. “This ſalt (fays Cronſtedt) is ſo ſtrongly uni</w:t>
        <w:softHyphen/>
        <w:t xml:space="preserve">ted with the calcareous earth, that the latter enters with it into the very cryſtals of the ſalt; though, by repeated ſolutions, the earth is by degrees ſeparated from it, and falls to the bottom after every ſolution. ” Cartheuſer aſſerts, that, on throwing into its ſolution in water a fixed mineral alkali, the calcareous earth was precipitated; and on the </w:t>
      </w:r>
      <w:r>
        <w:rPr>
          <w:rFonts w:ascii="Times New Roman" w:eastAsia="Times New Roman" w:hAnsi="Times New Roman" w:cs="Times New Roman"/>
          <w:color w:val="000000"/>
          <w:spacing w:val="0"/>
          <w:w w:val="100"/>
          <w:position w:val="0"/>
          <w:shd w:val="clear" w:color="auto" w:fill="auto"/>
          <w:lang w:val="fr-FR" w:eastAsia="fr-FR" w:bidi="fr-FR"/>
        </w:rPr>
        <w:t>contrar</w:t>
      </w:r>
      <w:r>
        <w:rPr>
          <w:rFonts w:ascii="Times New Roman" w:eastAsia="Times New Roman" w:hAnsi="Times New Roman" w:cs="Times New Roman"/>
          <w:color w:val="000000"/>
          <w:spacing w:val="0"/>
          <w:w w:val="100"/>
          <w:position w:val="0"/>
          <w:shd w:val="clear" w:color="auto" w:fill="auto"/>
          <w:lang w:val="en-US" w:eastAsia="en-US" w:bidi="en-US"/>
        </w:rPr>
        <w:t xml:space="preserve">y, by adding oil of vitriol, nitrous acid was expelled, and a Glauber’s ſalt produced; “from which (ſays M. Magellan) it is evident, that the aphronitrum is a triple felt ariſing from the combination of the nitrous acid with calcareous earth and mineral fixed alkali. ” Wallerius mentions three ſpecies of this ſalt;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one which contains only a mix</w:t>
        <w:softHyphen/>
        <w:t xml:space="preserve">ture of calcareous earth with fixed mineral alkali. This, he ſays, is the aphronitrum of the ancients; but he thinks that it ought to be rather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aphronatron,</w:t>
      </w:r>
      <w:r>
        <w:rPr>
          <w:rFonts w:ascii="Times New Roman" w:eastAsia="Times New Roman" w:hAnsi="Times New Roman" w:cs="Times New Roman"/>
          <w:color w:val="000000"/>
          <w:spacing w:val="0"/>
          <w:w w:val="100"/>
          <w:position w:val="0"/>
          <w:shd w:val="clear" w:color="auto" w:fill="auto"/>
          <w:lang w:val="en-US" w:eastAsia="en-US" w:bidi="en-US"/>
        </w:rPr>
        <w:t xml:space="preserve"> as they beſtowed the name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natron</w:t>
      </w:r>
      <w:r>
        <w:rPr>
          <w:rFonts w:ascii="Times New Roman" w:eastAsia="Times New Roman" w:hAnsi="Times New Roman" w:cs="Times New Roman"/>
          <w:color w:val="000000"/>
          <w:spacing w:val="0"/>
          <w:w w:val="100"/>
          <w:position w:val="0"/>
          <w:shd w:val="clear" w:color="auto" w:fill="auto"/>
          <w:lang w:val="en-US" w:eastAsia="en-US" w:bidi="en-US"/>
        </w:rPr>
        <w:t xml:space="preserve"> upon the mineral al</w:t>
        <w:softHyphen/>
        <w:t>kali.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ſpecies is that deſcribed by Cronſtedt under the title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calcareous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nitre.</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is that de</w:t>
        <w:softHyphen/>
        <w:t xml:space="preserve">ſcribed by Hoffman under the title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aphrοnitrum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janen</w:t>
      </w:r>
      <w:r>
        <w:rPr>
          <w:rStyle w:val="CharStyle5"/>
          <w:i/>
          <w:iCs/>
          <w:color w:val="000000"/>
          <w:sz w:val="18"/>
          <w:szCs w:val="18"/>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into whoſe compofition the vitriolic acid enters. It is a kind of Glauber’s felt, and is frequently con</w:t>
        <w:softHyphen/>
        <w:t>founded with it.</w:t>
      </w:r>
    </w:p>
    <w:p>
      <w:pPr>
        <w:pStyle w:val="Style11"/>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aphronitrum of Cronſtedt is deſcribed by him as appearing on old walls and below vaults, or in places where it cannot be waſhed away by the rain. When it contains any conſiderable quantity of calcareous earth, it ſhoots into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hd w:val="clear" w:color="auto" w:fill="auto"/>
          <w:lang w:val="en-US" w:eastAsia="en-US" w:bidi="en-US"/>
        </w:rPr>
        <w:t xml:space="preserve">cryſtals, a figure frequently affected by the calcareous earth when it ſhoots into cryſtals: but when the aphronitrum is purer, it forms </w:t>
      </w:r>
      <w:r>
        <w:rPr>
          <w:rFonts w:ascii="Times New Roman" w:eastAsia="Times New Roman" w:hAnsi="Times New Roman" w:cs="Times New Roman"/>
          <w:color w:val="000000"/>
          <w:spacing w:val="0"/>
          <w:w w:val="100"/>
          <w:position w:val="0"/>
          <w:shd w:val="clear" w:color="auto" w:fill="auto"/>
          <w:lang w:val="fr-FR" w:eastAsia="fr-FR" w:bidi="fr-FR"/>
        </w:rPr>
        <w:t>pri</w:t>
      </w:r>
      <w:r>
        <w:rPr>
          <w:rStyle w:val="CharStyle5"/>
          <w:color w:val="000000"/>
          <w:sz w:val="18"/>
          <w:szCs w:val="18"/>
          <w:lang w:val="en-US" w:eastAsia="en-US" w:bidi="en-US"/>
        </w:rPr>
        <w:t>ſm</w:t>
      </w:r>
      <w:r>
        <w:rPr>
          <w:rFonts w:ascii="Times New Roman" w:eastAsia="Times New Roman" w:hAnsi="Times New Roman" w:cs="Times New Roman"/>
          <w:color w:val="000000"/>
          <w:spacing w:val="0"/>
          <w:w w:val="100"/>
          <w:position w:val="0"/>
          <w:shd w:val="clear" w:color="auto" w:fill="auto"/>
          <w:lang w:val="en-US" w:eastAsia="en-US" w:bidi="en-US"/>
        </w:rPr>
        <w:t>atic cryſtals. From theſe circumſtances, M. Magel</w:t>
        <w:softHyphen/>
        <w:t xml:space="preserve">lan thinks, that the aphronitrum is not only a triple but a multiple felt; as theſe pieces of old mortar, covered with this white froſt, on ancient walls, are the very </w:t>
      </w:r>
      <w:r>
        <w:rPr>
          <w:rStyle w:val="CharStyle5"/>
          <w:color w:val="00000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 xml:space="preserve">me from which the </w:t>
      </w:r>
      <w:r>
        <w:rPr>
          <w:rStyle w:val="CharStyle5"/>
          <w:color w:val="00000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ltpetre-makers extract the mother water of nitre; after mixing with it the vegetable aſhes to furniſh the alkali.</w:t>
      </w:r>
    </w:p>
    <w:p>
      <w:pPr>
        <w:pStyle w:val="Style11"/>
        <w:keepNext w:val="0"/>
        <w:keepLines w:val="0"/>
        <w:widowControl w:val="0"/>
        <w:numPr>
          <w:ilvl w:val="0"/>
          <w:numId w:val="1"/>
        </w:numPr>
        <w:shd w:val="clear" w:color="auto" w:fill="auto"/>
        <w:tabs>
          <w:tab w:pos="486" w:val="left"/>
        </w:tabs>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Common ſalt with magnefia, or mineral alkali, contaminated by muriatic magneſia. This is a com</w:t>
        <w:softHyphen/>
        <w:t>pound of common felt with magneſia, and is very deli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queſcent, owing to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compound of magneſia and </w:t>
      </w:r>
      <w:r>
        <w:rPr>
          <w:rStyle w:val="CharStyle5"/>
          <w:color w:val="000000"/>
          <w:sz w:val="18"/>
          <w:szCs w:val="18"/>
          <w:lang w:val="en-US" w:eastAsia="en-US" w:bidi="en-US"/>
        </w:rPr>
        <w:t>ſpi-</w:t>
      </w:r>
    </w:p>
    <w:sectPr>
      <w:footnotePr>
        <w:pos w:val="pageBottom"/>
        <w:numFmt w:val="decimal"/>
        <w:numRestart w:val="continuous"/>
      </w:footnotePr>
      <w:pgSz w:w="12240" w:h="15840"/>
      <w:pgMar w:top="1329" w:left="932" w:right="932" w:bottom="1615" w:header="901" w:footer="1187" w:gutter="1760"/>
      <w:pgNumType w:start="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character" w:customStyle="1" w:styleId="CharStyle12">
    <w:name w:val="Body text (9)_"/>
    <w:basedOn w:val="DefaultParagraphFont"/>
    <w:link w:val="Style11"/>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1">
    <w:name w:val="Body text (9)"/>
    <w:basedOn w:val="Normal"/>
    <w:link w:val="CharStyle12"/>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