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twelfth chapter, by the woman bearing a man- child is to be underſtood the Chriſtian church; by the great red dragon, the heathen Roman empire; by the man-child whom the woman bore, Conſtantine the Great; and by the war in heaven, the conteſts between the Chriſtian and Heathen religions.</w:t>
      </w:r>
    </w:p>
    <w:p>
      <w:pPr>
        <w:pStyle w:val="Style2"/>
        <w:keepNext w:val="0"/>
        <w:keepLines w:val="0"/>
        <w:widowControl w:val="0"/>
        <w:shd w:val="clear" w:color="auto" w:fill="auto"/>
        <w:tabs>
          <w:tab w:pos="355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thirteenth chapter, by the beaſt with ſeven heads and ten horns, unto whom the dragon gave his power, feat, and great authority, is to be underſtood, net Pagan but Chriſtian, not imperial but papal Rome; in ſubmitting to whole religion, the world did in effect ſubmit again to the religion of the dragon. The ten</w:t>
        <w:softHyphen/>
        <w:t xml:space="preserve">-horned beaſt therefore repreſents the Romiſh church and ſtate in general: but the beaſt with two horns like </w:t>
      </w:r>
      <w:r>
        <w:rPr>
          <w:rFonts w:ascii="Times New Roman" w:eastAsia="Times New Roman" w:hAnsi="Times New Roman" w:cs="Times New Roman"/>
          <w:color w:val="000000"/>
          <w:spacing w:val="0"/>
          <w:w w:val="100"/>
          <w:position w:val="0"/>
          <w:shd w:val="clear" w:color="auto" w:fill="auto"/>
          <w:lang w:val="la-001" w:eastAsia="la-001" w:bidi="la-001"/>
        </w:rPr>
        <w:t xml:space="preserve">a lambis </w:t>
      </w:r>
      <w:r>
        <w:rPr>
          <w:rFonts w:ascii="Times New Roman" w:eastAsia="Times New Roman" w:hAnsi="Times New Roman" w:cs="Times New Roman"/>
          <w:color w:val="000000"/>
          <w:spacing w:val="0"/>
          <w:w w:val="100"/>
          <w:position w:val="0"/>
          <w:shd w:val="clear" w:color="auto" w:fill="auto"/>
          <w:lang w:val="en-US" w:eastAsia="en-US" w:bidi="en-US"/>
        </w:rPr>
        <w:t xml:space="preserve">the Roman clergy; and that image of the ten-horned beaſt, which the two-horned beaſt cauſed to be made, and inſpired with life, is the pope; whoſe number is 666, according to the numerical powers of the letters conſtituting the Roman name </w:t>
      </w:r>
      <w:r>
        <w:rPr>
          <w:rFonts w:ascii="Times New Roman" w:eastAsia="Times New Roman" w:hAnsi="Times New Roman" w:cs="Times New Roman"/>
          <w:i/>
          <w:iCs/>
          <w:color w:val="000000"/>
          <w:spacing w:val="0"/>
          <w:w w:val="100"/>
          <w:position w:val="0"/>
          <w:shd w:val="clear" w:color="auto" w:fill="auto"/>
          <w:lang w:val="la-001" w:eastAsia="la-001" w:bidi="la-001"/>
        </w:rPr>
        <w:t>Latinus,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its equivalent in </w:t>
      </w:r>
      <w:r>
        <w:rPr>
          <w:rFonts w:ascii="Times New Roman" w:eastAsia="Times New Roman" w:hAnsi="Times New Roman" w:cs="Times New Roman"/>
          <w:i/>
          <w:iCs/>
          <w:color w:val="000000"/>
          <w:spacing w:val="0"/>
          <w:w w:val="100"/>
          <w:position w:val="0"/>
          <w:shd w:val="clear" w:color="auto" w:fill="auto"/>
          <w:lang w:val="en-US" w:eastAsia="en-US" w:bidi="en-US"/>
        </w:rPr>
        <w:t>Hebrew;</w:t>
      </w:r>
      <w:r>
        <w:rPr>
          <w:rFonts w:ascii="Times New Roman" w:eastAsia="Times New Roman" w:hAnsi="Times New Roman" w:cs="Times New Roman"/>
          <w:color w:val="000000"/>
          <w:spacing w:val="0"/>
          <w:w w:val="100"/>
          <w:position w:val="0"/>
          <w:shd w:val="clear" w:color="auto" w:fill="auto"/>
          <w:lang w:val="en-US" w:eastAsia="en-US" w:bidi="en-US"/>
        </w:rPr>
        <w:t xml:space="preserve"> דומ׳׳ח </w:t>
      </w:r>
      <w:r>
        <w:rPr>
          <w:rFonts w:ascii="Times New Roman" w:eastAsia="Times New Roman" w:hAnsi="Times New Roman" w:cs="Times New Roman"/>
          <w:i/>
          <w:iCs/>
          <w:color w:val="000000"/>
          <w:spacing w:val="0"/>
          <w:w w:val="100"/>
          <w:position w:val="0"/>
          <w:shd w:val="clear" w:color="auto" w:fill="auto"/>
          <w:lang w:val="en-US" w:eastAsia="en-US" w:bidi="en-US"/>
        </w:rPr>
        <w:t>Romiith.</w:t>
      </w:r>
    </w:p>
    <w:tbl>
      <w:tblPr>
        <w:tblOverlap w:val="never"/>
        <w:jc w:val="left"/>
        <w:tblLayout w:type="fixed"/>
      </w:tblPr>
      <w:tblGrid>
        <w:gridCol w:w="1757"/>
        <w:gridCol w:w="1771"/>
      </w:tblGrid>
      <w:tr>
        <w:trPr>
          <w:trHeight w:val="220"/>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Λ 30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 ד</w:t>
            </w:r>
          </w:p>
        </w:tc>
      </w:tr>
      <w:tr>
        <w:trPr>
          <w:trHeight w:val="180"/>
        </w:trPr>
        <w:tc>
          <w:tcPr>
            <w:tcBorders/>
            <w:shd w:val="clear" w:color="auto" w:fill="FFFFFF"/>
            <w:vAlign w:val="bottom"/>
          </w:tcPr>
          <w:p>
            <w:pPr>
              <w:pStyle w:val="Style5"/>
              <w:keepNext w:val="0"/>
              <w:keepLines w:val="0"/>
              <w:widowControl w:val="0"/>
              <w:shd w:val="clear" w:color="auto" w:fill="auto"/>
              <w:tabs>
                <w:tab w:pos="64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 1</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 ו</w:t>
            </w:r>
          </w:p>
        </w:tc>
      </w:tr>
      <w:tr>
        <w:trPr>
          <w:trHeight w:val="191"/>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 300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 מ</w:t>
            </w:r>
          </w:p>
        </w:tc>
      </w:tr>
      <w:tr>
        <w:trPr>
          <w:trHeight w:val="184"/>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 5</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 ׳</w:t>
            </w:r>
          </w:p>
        </w:tc>
      </w:tr>
      <w:tr>
        <w:trPr>
          <w:trHeight w:val="166"/>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 ׳</w:t>
            </w:r>
          </w:p>
        </w:tc>
      </w:tr>
      <w:tr>
        <w:trPr>
          <w:trHeight w:val="238"/>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 50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400 ת</w:t>
            </w:r>
          </w:p>
        </w:tc>
      </w:tr>
      <w:tr>
        <w:trPr>
          <w:trHeight w:val="194"/>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 70</w:t>
            </w:r>
          </w:p>
        </w:tc>
        <w:tc>
          <w:tcPr>
            <w:tcBorders/>
            <w:shd w:val="clear" w:color="auto" w:fill="FFFFFF"/>
            <w:vAlign w:val="top"/>
          </w:tcPr>
          <w:p>
            <w:pPr>
              <w:widowControl w:val="0"/>
              <w:rPr>
                <w:sz w:val="10"/>
                <w:szCs w:val="10"/>
              </w:rPr>
            </w:pPr>
          </w:p>
        </w:tc>
      </w:tr>
      <w:tr>
        <w:trPr>
          <w:trHeight w:val="288"/>
        </w:trPr>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Σ 200</w:t>
            </w:r>
          </w:p>
        </w:tc>
        <w:tc>
          <w:tcPr>
            <w:tcBorders/>
            <w:shd w:val="clear" w:color="auto" w:fill="FFFFFF"/>
            <w:vAlign w:val="top"/>
          </w:tcPr>
          <w:p>
            <w:pPr>
              <w:widowControl w:val="0"/>
              <w:rPr>
                <w:sz w:val="10"/>
                <w:szCs w:val="10"/>
              </w:rPr>
            </w:pPr>
          </w:p>
        </w:tc>
      </w:tr>
      <w:tr>
        <w:trPr>
          <w:trHeight w:val="252"/>
        </w:trPr>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666</w:t>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666</w:t>
            </w:r>
          </w:p>
        </w:tc>
      </w:tr>
    </w:tbl>
    <w:p>
      <w:pPr>
        <w:widowControl w:val="0"/>
        <w:spacing w:after="7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Chapter xiv. By the lamb on mount Sion is meant Jeſus; by the hundred forty and four thouſand, his church and followers; by the angel preaching the ever- laſting goſpel, the firſt principal effort made towards a reformation by that public oppoſition formed againſt the worſhip of ſaints and images by emperors and biſhops in the eighth and ninth centuries; by the angel crying, “Babylon is fallen,” the Waldenſes and Albigenſes, who pronounced the church of Rome to be the </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pocalyptic Babylon, and denounced her deſtruction; and by the third angel, Martin Luther and his fellow reformers, who proteſted againſt all the corruptions of the church of Rome, as deſtructive to ſalvation. For an account of the doctrines and precepts contained in</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Scriptures, ſee </w:t>
      </w:r>
      <w:r>
        <w:rPr>
          <w:rFonts w:ascii="Times New Roman" w:eastAsia="Times New Roman" w:hAnsi="Times New Roman" w:cs="Times New Roman"/>
          <w:smallCaps/>
          <w:color w:val="000000"/>
          <w:spacing w:val="0"/>
          <w:w w:val="100"/>
          <w:position w:val="0"/>
          <w:shd w:val="clear" w:color="auto" w:fill="auto"/>
          <w:lang w:val="en-US" w:eastAsia="en-US" w:bidi="en-US"/>
        </w:rPr>
        <w:t>Theology.</w:t>
      </w:r>
      <w:r>
        <w:rPr>
          <w:rFonts w:ascii="Times New Roman" w:eastAsia="Times New Roman" w:hAnsi="Times New Roman" w:cs="Times New Roman"/>
          <w:color w:val="000000"/>
          <w:spacing w:val="0"/>
          <w:w w:val="100"/>
          <w:position w:val="0"/>
          <w:shd w:val="clear" w:color="auto" w:fill="auto"/>
          <w:lang w:val="en-US" w:eastAsia="en-US" w:bidi="en-US"/>
        </w:rPr>
        <w:t xml:space="preserve"> For proofs of their divine origin, ſee </w:t>
      </w:r>
      <w:r>
        <w:rPr>
          <w:rFonts w:ascii="Times New Roman" w:eastAsia="Times New Roman" w:hAnsi="Times New Roman" w:cs="Times New Roman"/>
          <w:smallCaps/>
          <w:color w:val="000000"/>
          <w:spacing w:val="0"/>
          <w:w w:val="100"/>
          <w:position w:val="0"/>
          <w:shd w:val="clear" w:color="auto" w:fill="auto"/>
          <w:lang w:val="en-US" w:eastAsia="en-US" w:bidi="en-US"/>
        </w:rPr>
        <w:t>Religion, Prophecy,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Mi</w:t>
        <w:softHyphen/>
        <w:t>racles.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SCRIVENER, one who draws contracts, or whoſe buſineſs it is to place money at intereſt. If a ſcrivener is entruſted with a bond, he may receive the intereſt; and if he fails, the obligee ſhall bear the loſs: and ſo it is if he receive the principal and deliver up the bond; for being entruſted with the ſecurity itſelf, it muſt be preſumed that he is truſted with power to receive inte</w:t>
        <w:softHyphen/>
        <w:t>reſt or principal; and the giving up the bond on pay</w:t>
        <w:softHyphen/>
        <w:t>ment of the money ſhall be a diſcharge thereof. But if a ſcrivener ſhall be entrusted with a mortgage-deed, he hath only authority to receive the intereſt, not the principal; the giving up the deed in this caſe not being ſufficient to reſtore the eſlate, but there muſt be a re</w:t>
        <w:softHyphen/>
        <w:t>conveyance, &amp;c. It is held, where a ſcrivener puts out his client’s money on a bad ſecurity, which upon in</w:t>
        <w:softHyphen/>
        <w:t xml:space="preserve">quiry might have been eaſily found ſo, yet he cannot in  equity be charged to anſwer for the money; for it 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here ſaid, no one would venture to put out money of another upon a ſecurity, if he were obliged to warrant and make it good in caſe a loſs ſhould happen, without any fraud in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SCROBICULUS </w:t>
      </w:r>
      <w:r>
        <w:rPr>
          <w:rFonts w:ascii="Times New Roman" w:eastAsia="Times New Roman" w:hAnsi="Times New Roman" w:cs="Times New Roman"/>
          <w:smallCaps/>
          <w:color w:val="000000"/>
          <w:spacing w:val="0"/>
          <w:w w:val="100"/>
          <w:position w:val="0"/>
          <w:shd w:val="clear" w:color="auto" w:fill="auto"/>
          <w:lang w:val="en-US" w:eastAsia="en-US" w:bidi="en-US"/>
        </w:rPr>
        <w:t>cordis,</w:t>
      </w:r>
      <w:r>
        <w:rPr>
          <w:rFonts w:ascii="Times New Roman" w:eastAsia="Times New Roman" w:hAnsi="Times New Roman" w:cs="Times New Roman"/>
          <w:color w:val="000000"/>
          <w:spacing w:val="0"/>
          <w:w w:val="100"/>
          <w:position w:val="0"/>
          <w:shd w:val="clear" w:color="auto" w:fill="auto"/>
          <w:lang w:val="en-US" w:eastAsia="en-US" w:bidi="en-US"/>
        </w:rPr>
        <w:t xml:space="preserve"> the ſame as </w:t>
      </w:r>
      <w:r>
        <w:rPr>
          <w:rFonts w:ascii="Times New Roman" w:eastAsia="Times New Roman" w:hAnsi="Times New Roman" w:cs="Times New Roman"/>
          <w:smallCaps/>
          <w:color w:val="000000"/>
          <w:spacing w:val="0"/>
          <w:w w:val="100"/>
          <w:position w:val="0"/>
          <w:shd w:val="clear" w:color="auto" w:fill="auto"/>
          <w:lang w:val="en-US" w:eastAsia="en-US" w:bidi="en-US"/>
        </w:rPr>
        <w:t>AnticardIUM.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SCROFANELLO, in ichthyology, a name by which ſome have called a ſmall fiſh of the Mediterra</w:t>
        <w:softHyphen/>
        <w:t xml:space="preserve">nean, more uſually known by the name of the </w:t>
      </w:r>
      <w:r>
        <w:rPr>
          <w:rFonts w:ascii="Times New Roman" w:eastAsia="Times New Roman" w:hAnsi="Times New Roman" w:cs="Times New Roman"/>
          <w:i/>
          <w:iCs/>
          <w:color w:val="000000"/>
          <w:spacing w:val="0"/>
          <w:w w:val="100"/>
          <w:position w:val="0"/>
          <w:shd w:val="clear" w:color="auto" w:fill="auto"/>
          <w:lang w:val="en-US" w:eastAsia="en-US" w:bidi="en-US"/>
        </w:rPr>
        <w:t>ſcorpaena.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SCROLL, in HERALDRY. See that article, chap. iv, ſect. 9. When the motto relates to the creſt, the ſcroll is properly placed above the atchievement; otherwiſe it ſhould be annexed to the eſcutcheon. Thoſe of the order of knighthood are generally placed round ſhields.</w:t>
      </w:r>
    </w:p>
    <w:p>
      <w:pPr>
        <w:pStyle w:val="Style2"/>
        <w:keepNext w:val="0"/>
        <w:keepLines w:val="0"/>
        <w:widowControl w:val="0"/>
        <w:shd w:val="clear" w:color="auto" w:fill="auto"/>
        <w:bidi w:val="0"/>
        <w:spacing w:line="29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SCROPHULA, the </w:t>
      </w:r>
      <w:r>
        <w:rPr>
          <w:rFonts w:ascii="Times New Roman" w:eastAsia="Times New Roman" w:hAnsi="Times New Roman" w:cs="Times New Roman"/>
          <w:smallCaps/>
          <w:color w:val="000000"/>
          <w:spacing w:val="0"/>
          <w:w w:val="100"/>
          <w:position w:val="0"/>
          <w:shd w:val="clear" w:color="auto" w:fill="auto"/>
          <w:lang w:val="en-US" w:eastAsia="en-US" w:bidi="en-US"/>
        </w:rPr>
        <w:t>king’s evil.</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Medicine, </w:t>
      </w:r>
      <w:r>
        <w:rPr>
          <w:rFonts w:ascii="Times New Roman" w:eastAsia="Times New Roman" w:hAnsi="Times New Roman" w:cs="Times New Roman"/>
          <w:color w:val="000000"/>
          <w:spacing w:val="0"/>
          <w:w w:val="100"/>
          <w:position w:val="0"/>
          <w:shd w:val="clear" w:color="auto" w:fill="auto"/>
          <w:lang w:val="en-US" w:eastAsia="en-US" w:bidi="en-US"/>
        </w:rPr>
        <w:t>n° 349.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SCROPHULARIA, </w:t>
      </w:r>
      <w:r>
        <w:rPr>
          <w:rFonts w:ascii="Times New Roman" w:eastAsia="Times New Roman" w:hAnsi="Times New Roman" w:cs="Times New Roman"/>
          <w:smallCaps/>
          <w:color w:val="000000"/>
          <w:spacing w:val="0"/>
          <w:w w:val="100"/>
          <w:position w:val="0"/>
          <w:shd w:val="clear" w:color="auto" w:fill="auto"/>
          <w:lang w:val="en-US" w:eastAsia="en-US" w:bidi="en-US"/>
        </w:rPr>
        <w:t>Figwort,</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w:t>
        <w:softHyphen/>
        <w:t>nus of the angioſpermia order, belonging to the didynamia claſs of plants; and in the natural method rank</w:t>
        <w:softHyphen/>
        <w:t>ing under the 40th or</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Perſonatae.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quinqueſid; the corolla almoſt globoſe, and reſupinated; the capſule bilocular. There are ſeveral ſpecies, of which the moſt remarkable are,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Nodosa,</w:t>
      </w:r>
      <w:r>
        <w:rPr>
          <w:rFonts w:ascii="Times New Roman" w:eastAsia="Times New Roman" w:hAnsi="Times New Roman" w:cs="Times New Roman"/>
          <w:color w:val="000000"/>
          <w:spacing w:val="0"/>
          <w:w w:val="100"/>
          <w:position w:val="0"/>
          <w:shd w:val="clear" w:color="auto" w:fill="auto"/>
          <w:lang w:val="en-US" w:eastAsia="en-US" w:bidi="en-US"/>
        </w:rPr>
        <w:t xml:space="preserve"> or the com</w:t>
        <w:softHyphen/>
        <w:t xml:space="preserve">mon figwort, which grows in woods and hedges. The root is tuberous; the ſtalks are four or five feet high, and branched towards the top; the leaves are heart- ſhaped, ſerrated, and acute. The flowers are of a dark red colour, ſhaped like a cap or helmet; the lower lip greeniſh: they grow in looſe dichotomous ſpikes or </w:t>
      </w:r>
      <w:r>
        <w:rPr>
          <w:rFonts w:ascii="Times New Roman" w:eastAsia="Times New Roman" w:hAnsi="Times New Roman" w:cs="Times New Roman"/>
          <w:i/>
          <w:iCs/>
          <w:color w:val="000000"/>
          <w:spacing w:val="0"/>
          <w:w w:val="100"/>
          <w:position w:val="0"/>
          <w:shd w:val="clear" w:color="auto" w:fill="auto"/>
          <w:lang w:val="la-001" w:eastAsia="la-001" w:bidi="la-001"/>
        </w:rPr>
        <w:t>ra</w:t>
        <w:softHyphen/>
        <w:t>cemi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top of the branches. The leaves have a fe</w:t>
        <w:softHyphen/>
        <w:t>tid ſmell and bitter taſte. A decoction of them is ſaid to cure hogs of the meaſles. An ointment made of the root was formerly uſed to cure the piles and ſcrophulous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 xml:space="preserve">but is at preſent out of practice. 2. </w:t>
      </w:r>
      <w:r>
        <w:rPr>
          <w:rFonts w:ascii="Times New Roman" w:eastAsia="Times New Roman" w:hAnsi="Times New Roman" w:cs="Times New Roman"/>
          <w:i/>
          <w:iCs/>
          <w:color w:val="000000"/>
          <w:spacing w:val="0"/>
          <w:w w:val="100"/>
          <w:position w:val="0"/>
          <w:shd w:val="clear" w:color="auto" w:fill="auto"/>
          <w:lang w:val="la-001" w:eastAsia="la-001" w:bidi="la-001"/>
        </w:rPr>
        <w:t>Aqua</w:t>
        <w:softHyphen/>
        <w:t>tica,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water-figwort, or betony. The root is fibrous; ſtem erect, ſquare, about four feet high. The leaves are oppoſite, elliptical, pointed, ſlightly ſcalloped, on decurrent footſtalks. Flowers purple, in looſe naked ſpikes. It grows on the ſides of rivulets and other wet places, and has a fetid ſmell, though not ſo ſtrong as the preceding. The leaves are uſed in medicine as a corrector of ſena, and in powder to promote ſneezing. 3. </w:t>
      </w:r>
      <w:r>
        <w:rPr>
          <w:rFonts w:ascii="Times New Roman" w:eastAsia="Times New Roman" w:hAnsi="Times New Roman" w:cs="Times New Roman"/>
          <w:i/>
          <w:iCs/>
          <w:color w:val="000000"/>
          <w:spacing w:val="0"/>
          <w:w w:val="100"/>
          <w:position w:val="0"/>
          <w:shd w:val="clear" w:color="auto" w:fill="auto"/>
          <w:lang w:val="en-US" w:eastAsia="en-US" w:bidi="en-US"/>
        </w:rPr>
        <w:t>Scorodonia,</w:t>
      </w:r>
      <w:r>
        <w:rPr>
          <w:rFonts w:ascii="Times New Roman" w:eastAsia="Times New Roman" w:hAnsi="Times New Roman" w:cs="Times New Roman"/>
          <w:color w:val="000000"/>
          <w:spacing w:val="0"/>
          <w:w w:val="100"/>
          <w:position w:val="0"/>
          <w:shd w:val="clear" w:color="auto" w:fill="auto"/>
          <w:lang w:val="en-US" w:eastAsia="en-US" w:bidi="en-US"/>
        </w:rPr>
        <w:t xml:space="preserve"> or balm-leaved figwort. The ſtem is erect, ſquare, about two feet high. The leaves are oppoſite, doubly ſerrated. The flowers are duſky pur</w:t>
        <w:softHyphen/>
        <w:t>ple, in compoſite bunches. It grows on the banks of rivulets, &amp;c. in Cornwall. 4. V</w:t>
      </w:r>
      <w:r>
        <w:rPr>
          <w:rFonts w:ascii="Times New Roman" w:eastAsia="Times New Roman" w:hAnsi="Times New Roman" w:cs="Times New Roman"/>
          <w:i/>
          <w:iCs/>
          <w:color w:val="000000"/>
          <w:spacing w:val="0"/>
          <w:w w:val="100"/>
          <w:position w:val="0"/>
          <w:shd w:val="clear" w:color="auto" w:fill="auto"/>
          <w:lang w:val="en-US" w:eastAsia="en-US" w:bidi="en-US"/>
        </w:rPr>
        <w:t>ernalis,</w:t>
      </w:r>
      <w:r>
        <w:rPr>
          <w:rFonts w:ascii="Times New Roman" w:eastAsia="Times New Roman" w:hAnsi="Times New Roman" w:cs="Times New Roman"/>
          <w:color w:val="000000"/>
          <w:spacing w:val="0"/>
          <w:w w:val="100"/>
          <w:position w:val="0"/>
          <w:shd w:val="clear" w:color="auto" w:fill="auto"/>
          <w:lang w:val="en-US" w:eastAsia="en-US" w:bidi="en-US"/>
        </w:rPr>
        <w:t xml:space="preserve"> or yellow fig- wort. The ſtalks are ſquare, hairy, brown, about two feet high. The leaves are heart-ſhaped, roundiſh, hai</w:t>
        <w:softHyphen/>
        <w:t xml:space="preserve">ry, indented, oppoſite. The flowers are yellow, on ſingle forked footſtalks from the </w:t>
      </w:r>
      <w:r>
        <w:rPr>
          <w:rFonts w:ascii="Times New Roman" w:eastAsia="Times New Roman" w:hAnsi="Times New Roman" w:cs="Times New Roman"/>
          <w:color w:val="000000"/>
          <w:spacing w:val="0"/>
          <w:w w:val="100"/>
          <w:position w:val="0"/>
          <w:shd w:val="clear" w:color="auto" w:fill="auto"/>
          <w:lang w:val="fr-FR" w:eastAsia="fr-FR" w:bidi="fr-FR"/>
        </w:rPr>
        <w:t xml:space="preserve">alæ </w:t>
      </w:r>
      <w:r>
        <w:rPr>
          <w:rFonts w:ascii="Times New Roman" w:eastAsia="Times New Roman" w:hAnsi="Times New Roman" w:cs="Times New Roman"/>
          <w:color w:val="000000"/>
          <w:spacing w:val="0"/>
          <w:w w:val="100"/>
          <w:position w:val="0"/>
          <w:shd w:val="clear" w:color="auto" w:fill="auto"/>
          <w:lang w:val="en-US" w:eastAsia="en-US" w:bidi="en-US"/>
        </w:rPr>
        <w:t>of the leaves. It grows in hedges in Surry.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SCROTUM.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107.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SCRUPI, </w:t>
      </w:r>
      <w:r>
        <w:rPr>
          <w:rFonts w:ascii="Times New Roman" w:eastAsia="Times New Roman" w:hAnsi="Times New Roman" w:cs="Times New Roman"/>
          <w:color w:val="000000"/>
          <w:spacing w:val="0"/>
          <w:w w:val="100"/>
          <w:position w:val="0"/>
          <w:shd w:val="clear" w:color="auto" w:fill="auto"/>
          <w:lang w:val="en-US" w:eastAsia="en-US" w:bidi="en-US"/>
        </w:rPr>
        <w:t xml:space="preserve">in natural hiſtory, the name of a claſs of foſſils, formed in detached maſſes, without any crufts; of no determinate figure or regular ſtructure; and compoſed of a cryſtalline or ſparry matter, debaſed by an admixture of earth in various proportions. Under this claſs are comprehended, 1. The </w:t>
      </w:r>
      <w:r>
        <w:rPr>
          <w:rFonts w:ascii="Times New Roman" w:eastAsia="Times New Roman" w:hAnsi="Times New Roman" w:cs="Times New Roman"/>
          <w:i/>
          <w:iCs/>
          <w:color w:val="000000"/>
          <w:spacing w:val="0"/>
          <w:w w:val="100"/>
          <w:position w:val="0"/>
          <w:shd w:val="clear" w:color="auto" w:fill="auto"/>
          <w:lang w:val="en-US" w:eastAsia="en-US" w:bidi="en-US"/>
        </w:rPr>
        <w:t>telaugia.</w:t>
      </w:r>
      <w:r>
        <w:rPr>
          <w:rFonts w:ascii="Times New Roman" w:eastAsia="Times New Roman" w:hAnsi="Times New Roman" w:cs="Times New Roman"/>
          <w:color w:val="000000"/>
          <w:spacing w:val="0"/>
          <w:w w:val="100"/>
          <w:position w:val="0"/>
          <w:shd w:val="clear" w:color="auto" w:fill="auto"/>
          <w:lang w:val="en-US" w:eastAsia="en-US" w:bidi="en-US"/>
        </w:rPr>
        <w:t xml:space="preserve"> 2. The petri</w:t>
      </w:r>
      <w:r>
        <w:rPr>
          <w:rFonts w:ascii="Times New Roman" w:eastAsia="Times New Roman" w:hAnsi="Times New Roman" w:cs="Times New Roman"/>
          <w:i/>
          <w:iCs/>
          <w:color w:val="000000"/>
          <w:spacing w:val="0"/>
          <w:w w:val="100"/>
          <w:position w:val="0"/>
          <w:shd w:val="clear" w:color="auto" w:fill="auto"/>
          <w:lang w:val="en-US" w:eastAsia="en-US" w:bidi="en-US"/>
        </w:rPr>
        <w:t>dia.</w:t>
      </w:r>
      <w:r>
        <w:rPr>
          <w:rFonts w:ascii="Times New Roman" w:eastAsia="Times New Roman" w:hAnsi="Times New Roman" w:cs="Times New Roman"/>
          <w:color w:val="000000"/>
          <w:spacing w:val="0"/>
          <w:w w:val="100"/>
          <w:position w:val="0"/>
          <w:shd w:val="clear" w:color="auto" w:fill="auto"/>
          <w:lang w:val="en-US" w:eastAsia="en-US" w:bidi="en-US"/>
        </w:rPr>
        <w:t xml:space="preserve"> 3. The lit</w:t>
      </w:r>
      <w:r>
        <w:rPr>
          <w:rFonts w:ascii="Times New Roman" w:eastAsia="Times New Roman" w:hAnsi="Times New Roman" w:cs="Times New Roman"/>
          <w:i/>
          <w:iCs/>
          <w:color w:val="000000"/>
          <w:spacing w:val="0"/>
          <w:w w:val="100"/>
          <w:position w:val="0"/>
          <w:shd w:val="clear" w:color="auto" w:fill="auto"/>
          <w:lang w:val="en-US" w:eastAsia="en-US" w:bidi="en-US"/>
        </w:rPr>
        <w:t>hozugia.</w:t>
      </w:r>
      <w:r>
        <w:rPr>
          <w:rFonts w:ascii="Times New Roman" w:eastAsia="Times New Roman" w:hAnsi="Times New Roman" w:cs="Times New Roman"/>
          <w:color w:val="000000"/>
          <w:spacing w:val="0"/>
          <w:w w:val="100"/>
          <w:position w:val="0"/>
          <w:shd w:val="clear" w:color="auto" w:fill="auto"/>
          <w:lang w:val="en-US" w:eastAsia="en-US" w:bidi="en-US"/>
        </w:rPr>
        <w:t xml:space="preserve"> 4.The</w:t>
      </w:r>
      <w:r>
        <w:rPr>
          <w:rFonts w:ascii="Times New Roman" w:eastAsia="Times New Roman" w:hAnsi="Times New Roman" w:cs="Times New Roman"/>
          <w:i/>
          <w:iCs/>
          <w:color w:val="000000"/>
          <w:spacing w:val="0"/>
          <w:w w:val="100"/>
          <w:position w:val="0"/>
          <w:shd w:val="clear" w:color="auto" w:fill="auto"/>
          <w:lang w:val="en-US" w:eastAsia="en-US" w:bidi="en-US"/>
        </w:rPr>
        <w:t xml:space="preserve"> jaſpides</w:t>
      </w:r>
      <w:r>
        <w:rPr>
          <w:rFonts w:ascii="Times New Roman" w:eastAsia="Times New Roman" w:hAnsi="Times New Roman" w:cs="Times New Roman"/>
          <w:color w:val="000000"/>
          <w:spacing w:val="0"/>
          <w:w w:val="100"/>
          <w:position w:val="0"/>
          <w:shd w:val="clear" w:color="auto" w:fill="auto"/>
          <w:lang w:val="en-US" w:eastAsia="en-US" w:bidi="en-US"/>
        </w:rPr>
        <w:t xml:space="preserve"> or jaſpers.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SCRUPLE, </w:t>
      </w:r>
      <w:r>
        <w:rPr>
          <w:rFonts w:ascii="Times New Roman" w:eastAsia="Times New Roman" w:hAnsi="Times New Roman" w:cs="Times New Roman"/>
          <w:smallCaps/>
          <w:color w:val="000000"/>
          <w:spacing w:val="0"/>
          <w:w w:val="100"/>
          <w:position w:val="0"/>
          <w:shd w:val="clear" w:color="auto" w:fill="auto"/>
          <w:lang w:val="la-001" w:eastAsia="la-001" w:bidi="la-001"/>
        </w:rPr>
        <w:t>Scrupulus,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la-001" w:eastAsia="la-001" w:bidi="la-001"/>
        </w:rPr>
        <w:t>Scrupulum,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leaſt of the weights uſed by the ancients, which amongſt the Romans was the 24th part of an ounce, or the 3d part of a dram. The ſcruple is ſtill a weight among</w:t>
      </w:r>
    </w:p>
    <w:sectPr>
      <w:footnotePr>
        <w:pos w:val="pageBottom"/>
        <w:numFmt w:val="decimal"/>
        <w:numRestart w:val="continuous"/>
      </w:footnotePr>
      <w:pgSz w:w="12240" w:h="15840"/>
      <w:pgMar w:top="1254" w:left="879" w:right="879" w:bottom="1801" w:header="0" w:footer="3" w:gutter="193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Other_"/>
    <w:basedOn w:val="DefaultParagraphFont"/>
    <w:link w:val="Style5"/>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