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Sterling, </w:t>
      </w:r>
      <w:r>
        <w:rPr>
          <w:rFonts w:ascii="Times New Roman" w:eastAsia="Times New Roman" w:hAnsi="Times New Roman" w:cs="Times New Roman"/>
          <w:color w:val="000000"/>
          <w:spacing w:val="0"/>
          <w:w w:val="100"/>
          <w:position w:val="0"/>
          <w:shd w:val="clear" w:color="auto" w:fill="auto"/>
          <w:lang w:val="en-US" w:eastAsia="en-US" w:bidi="en-US"/>
        </w:rPr>
        <w:t xml:space="preserve">but other writers@@*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reduce it to L. 85,42.l,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to L. 56,947 ; neither of which is a ſum ſo very extraordinary in ſo great and magnificent a price as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who ſpent, according to a paſſage in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(lib. v.), no leſs than 10,000 talents on the furniture of one tent ; which is fix times more than what was ſpent in the whole of the embaſſy and tranſlation, which amounted only to 1552 talents.</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Prideaux ſays, “ that what convicts the whole story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Ariſteas of falſity is, that he makes Demetrius </w:t>
      </w:r>
      <w:r>
        <w:rPr>
          <w:rFonts w:ascii="Times New Roman" w:eastAsia="Times New Roman" w:hAnsi="Times New Roman" w:cs="Times New Roman"/>
          <w:color w:val="000000"/>
          <w:spacing w:val="0"/>
          <w:w w:val="100"/>
          <w:position w:val="0"/>
          <w:shd w:val="clear" w:color="auto" w:fill="auto"/>
          <w:lang w:val="la-001" w:eastAsia="la-001" w:bidi="la-001"/>
        </w:rPr>
        <w:t>Pha</w:t>
        <w:softHyphen/>
        <w:t xml:space="preserve">lereus </w:t>
      </w:r>
      <w:r>
        <w:rPr>
          <w:rFonts w:ascii="Times New Roman" w:eastAsia="Times New Roman" w:hAnsi="Times New Roman" w:cs="Times New Roman"/>
          <w:color w:val="000000"/>
          <w:spacing w:val="0"/>
          <w:w w:val="100"/>
          <w:position w:val="0"/>
          <w:shd w:val="clear" w:color="auto" w:fill="auto"/>
          <w:lang w:val="en-US" w:eastAsia="en-US" w:bidi="en-US"/>
        </w:rPr>
        <w:t xml:space="preserve">to be the chief actor in it, and a great favourite of the king ; whereas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as ſoon as his father was dead, call him into priſon, where he ſoon after died.” @@But it may be replied, that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reign</w:t>
        <w:softHyphen/>
        <w:t xml:space="preserve">ed two years jointly with his father </w:t>
      </w:r>
      <w:r>
        <w:rPr>
          <w:rFonts w:ascii="Times New Roman" w:eastAsia="Times New Roman" w:hAnsi="Times New Roman" w:cs="Times New Roman"/>
          <w:color w:val="000000"/>
          <w:spacing w:val="0"/>
          <w:w w:val="100"/>
          <w:position w:val="0"/>
          <w:shd w:val="clear" w:color="auto" w:fill="auto"/>
          <w:lang w:val="la-001" w:eastAsia="la-001" w:bidi="la-001"/>
        </w:rPr>
        <w:t xml:space="preserve">Lagus, </w:t>
      </w:r>
      <w:r>
        <w:rPr>
          <w:rFonts w:ascii="Times New Roman" w:eastAsia="Times New Roman" w:hAnsi="Times New Roman" w:cs="Times New Roman"/>
          <w:color w:val="000000"/>
          <w:spacing w:val="0"/>
          <w:w w:val="100"/>
          <w:position w:val="0"/>
          <w:shd w:val="clear" w:color="auto" w:fill="auto"/>
          <w:lang w:val="en-US" w:eastAsia="en-US" w:bidi="en-US"/>
        </w:rPr>
        <w:t>and it is not ſaid by Hermippus that Demetrius was out of fa</w:t>
        <w:softHyphen/>
        <w:t xml:space="preserve">vour with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during his father’s life. Now, if the Septuagint was tranſlated in the beginning of the reign of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as Euſebius and Jerome think, the difficulty will be removed. Demetrius might have been librarian during the reign of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and yet impriſoned on the death of </w:t>
      </w:r>
      <w:r>
        <w:rPr>
          <w:rFonts w:ascii="Times New Roman" w:eastAsia="Times New Roman" w:hAnsi="Times New Roman" w:cs="Times New Roman"/>
          <w:color w:val="000000"/>
          <w:spacing w:val="0"/>
          <w:w w:val="100"/>
          <w:position w:val="0"/>
          <w:shd w:val="clear" w:color="auto" w:fill="auto"/>
          <w:lang w:val="la-001" w:eastAsia="la-001" w:bidi="la-001"/>
        </w:rPr>
        <w:t xml:space="preserve">Lagus. </w:t>
      </w:r>
      <w:r>
        <w:rPr>
          <w:rFonts w:ascii="Times New Roman" w:eastAsia="Times New Roman" w:hAnsi="Times New Roman" w:cs="Times New Roman"/>
          <w:color w:val="000000"/>
          <w:spacing w:val="0"/>
          <w:w w:val="100"/>
          <w:position w:val="0"/>
          <w:shd w:val="clear" w:color="auto" w:fill="auto"/>
          <w:lang w:val="en-US" w:eastAsia="en-US" w:bidi="en-US"/>
        </w:rPr>
        <w:t xml:space="preserve">Indeed, as the cauſe of Philadelphus’s diſpleaſure was the advice which Demetrius gave to his father, to prefer the ſons of Arſinoe before the son of Berenice, he could ſcarcely ſhow it till his father’s death. The Septuagint tranſlation might therefore be begun while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reigned jointly with his father, but not be finiſhed till after his father’s death.</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Beſides the objections which have been conſidered, there is only one that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notice.@@ The ancient Chriſtians not only differ from one another concerning the time in which Ariſtobulus lived, but even contra</w:t>
        <w:softHyphen/>
        <w:t>dict themſelves in different parts of their works. Some</w:t>
        <w:softHyphen/>
        <w:t xml:space="preserve">times they tell us, he dedicated his book to Ptolemy Philometer, at other times they ſay, it was addreſſed to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 xml:space="preserve">and his father. Sometimes they make him the ſame perſon who is mentioned in 2 Maccabees, chap 1. and ſometimes one of the 72 interpreters 152 years before. It is difficult to explain how authors fall into ſuch inconſiſtencies, but it is probably occaſioned by their quoting from memory. This was certainly the practice of almoſt all the early Chriſtian writers, and ſometimes of the apoſtles themſelves. Miſtakes were therefore inevitable. Joſephus has varied in the circumſtances of the ſame event, in his antiquities and wars of the Jews, probably from the ſame cauſe ; but we do not hence conclude, that every circumſtance of such a relation is entirely false. In the account of the </w:t>
      </w:r>
      <w:r>
        <w:rPr>
          <w:rFonts w:ascii="Times New Roman" w:eastAsia="Times New Roman" w:hAnsi="Times New Roman" w:cs="Times New Roman"/>
          <w:color w:val="000000"/>
          <w:spacing w:val="0"/>
          <w:w w:val="100"/>
          <w:position w:val="0"/>
          <w:shd w:val="clear" w:color="auto" w:fill="auto"/>
          <w:lang w:val="fr-FR" w:eastAsia="fr-FR" w:bidi="fr-FR"/>
        </w:rPr>
        <w:t xml:space="preserve">Marquis </w:t>
      </w:r>
      <w:r>
        <w:rPr>
          <w:rFonts w:ascii="Times New Roman" w:eastAsia="Times New Roman" w:hAnsi="Times New Roman" w:cs="Times New Roman"/>
          <w:color w:val="000000"/>
          <w:spacing w:val="0"/>
          <w:w w:val="100"/>
          <w:position w:val="0"/>
          <w:shd w:val="clear" w:color="auto" w:fill="auto"/>
          <w:lang w:val="en-US" w:eastAsia="en-US" w:bidi="en-US"/>
        </w:rPr>
        <w:t>of Argyle’s death in the reign of Charles II. we have a very remarkable contradiction. Lord Cla</w:t>
        <w:softHyphen/>
        <w:t>rendon relates, that he was condemned to be hanged, which was performed the same day : on the contrary, Burnet, Woodrow, Heath, Echard, concur in ſtating, that he was beheaded; and that he was condemned upon the Saturday and executed upon the Monday@@*. Was any reader of Engliſh hiſtory ever sceptic enough to raiſe from hence a queſtion, whether the Marquis of Argyle was executed or not ? Yet this ought to be left in uncertainty according to the way of reaſoning in which the facts reſpecting the tranſlation of the Septuagint is attempted to be disproved.</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w:t>
      </w:r>
      <w:r>
        <w:rPr>
          <w:rFonts w:ascii="Times New Roman" w:eastAsia="Times New Roman" w:hAnsi="Times New Roman" w:cs="Times New Roman"/>
          <w:color w:val="000000"/>
          <w:spacing w:val="0"/>
          <w:w w:val="100"/>
          <w:position w:val="0"/>
          <w:shd w:val="clear" w:color="auto" w:fill="auto"/>
          <w:lang w:val="la-001" w:eastAsia="la-001" w:bidi="la-001"/>
        </w:rPr>
        <w:t>ar</w:t>
      </w:r>
      <w:r>
        <w:rPr>
          <w:rFonts w:ascii="Times New Roman" w:eastAsia="Times New Roman" w:hAnsi="Times New Roman" w:cs="Times New Roman"/>
          <w:color w:val="000000"/>
          <w:spacing w:val="0"/>
          <w:w w:val="100"/>
          <w:position w:val="0"/>
          <w:shd w:val="clear" w:color="auto" w:fill="auto"/>
          <w:lang w:val="en-US" w:eastAsia="en-US" w:bidi="en-US"/>
        </w:rPr>
        <w:t>e the objections which the learned and inge</w:t>
        <w:softHyphen/>
        <w:t>nious Prideaux has raised againſt the common account o</w:t>
      </w:r>
      <w:r>
        <w:rPr>
          <w:rFonts w:ascii="Times New Roman" w:eastAsia="Times New Roman" w:hAnsi="Times New Roman" w:cs="Times New Roman"/>
          <w:color w:val="000000"/>
          <w:spacing w:val="0"/>
          <w:w w:val="100"/>
          <w:position w:val="0"/>
          <w:sz w:val="19"/>
          <w:szCs w:val="19"/>
          <w:shd w:val="clear" w:color="auto" w:fill="auto"/>
          <w:lang w:val="en-US" w:eastAsia="en-US" w:bidi="en-US"/>
        </w:rPr>
        <w:t>f the Septuagint tranſlation, and ſuch are the 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swers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given to them. We have choſen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ſup</w:t>
      </w:r>
      <w:r>
        <w:rPr>
          <w:rFonts w:ascii="Times New Roman" w:eastAsia="Times New Roman" w:hAnsi="Times New Roman" w:cs="Times New Roman"/>
          <w:color w:val="000000"/>
          <w:spacing w:val="0"/>
          <w:w w:val="100"/>
          <w:position w:val="0"/>
          <w:shd w:val="clear" w:color="auto" w:fill="auto"/>
          <w:lang w:val="en-US" w:eastAsia="en-US" w:bidi="en-US"/>
        </w:rPr>
        <w:t>port that opinion which is ſanctioned by hiſtorical evi</w:t>
        <w:softHyphen/>
        <w:t>dence, in preference to the conjectures of modern critics however ingenious; being perſuaded, that there are ma</w:t>
        <w:softHyphen/>
        <w:t>ny things recorded in hiſtory, which, though perfectly true, yet, from our imperfect knowledge of the conco</w:t>
        <w:softHyphen/>
        <w:t>mitant circumſtances, may, at a diſtant period, ſeem li</w:t>
        <w:softHyphen/>
        <w:t>able to objections. To thoſe who require positive evi</w:t>
        <w:softHyphen/>
        <w:t xml:space="preserve">dence, it may be ſtated thus. </w:t>
      </w:r>
      <w:r>
        <w:rPr>
          <w:rFonts w:ascii="Times New Roman" w:eastAsia="Times New Roman" w:hAnsi="Times New Roman" w:cs="Times New Roman"/>
          <w:color w:val="000000"/>
          <w:spacing w:val="0"/>
          <w:w w:val="100"/>
          <w:position w:val="0"/>
          <w:shd w:val="clear" w:color="auto" w:fill="auto"/>
          <w:lang w:val="fr-FR" w:eastAsia="fr-FR" w:bidi="fr-FR"/>
        </w:rPr>
        <w:t xml:space="preserve">Aristæas, </w:t>
      </w:r>
      <w:r>
        <w:rPr>
          <w:rFonts w:ascii="Times New Roman" w:eastAsia="Times New Roman" w:hAnsi="Times New Roman" w:cs="Times New Roman"/>
          <w:color w:val="000000"/>
          <w:spacing w:val="0"/>
          <w:w w:val="100"/>
          <w:position w:val="0"/>
          <w:shd w:val="clear" w:color="auto" w:fill="auto"/>
          <w:lang w:val="en-US" w:eastAsia="en-US" w:bidi="en-US"/>
        </w:rPr>
        <w:t>Ariſtobulus, Philo, and Joſephus, aſſure us, that the law was tranſ</w:t>
        <w:softHyphen/>
        <w:t xml:space="preserve">lated. Taking the law in the most reſtricted ſenſe, we have at leaſt ſufficient authority to </w:t>
      </w:r>
      <w:r>
        <w:rPr>
          <w:rFonts w:ascii="Times New Roman" w:eastAsia="Times New Roman" w:hAnsi="Times New Roman" w:cs="Times New Roman"/>
          <w:color w:val="000000"/>
          <w:spacing w:val="0"/>
          <w:w w:val="100"/>
          <w:position w:val="0"/>
          <w:shd w:val="clear" w:color="auto" w:fill="auto"/>
          <w:lang w:val="la-001" w:eastAsia="la-001" w:bidi="la-001"/>
        </w:rPr>
        <w:t xml:space="preserve">assert, </w:t>
      </w:r>
      <w:r>
        <w:rPr>
          <w:rFonts w:ascii="Times New Roman" w:eastAsia="Times New Roman" w:hAnsi="Times New Roman" w:cs="Times New Roman"/>
          <w:color w:val="000000"/>
          <w:spacing w:val="0"/>
          <w:w w:val="100"/>
          <w:position w:val="0"/>
          <w:shd w:val="clear" w:color="auto" w:fill="auto"/>
          <w:lang w:val="en-US" w:eastAsia="en-US" w:bidi="en-US"/>
        </w:rPr>
        <w:t>that the Pen</w:t>
        <w:softHyphen/>
        <w:t xml:space="preserve">tateuch was rendered into Greek under Ptolemy </w:t>
      </w:r>
      <w:r>
        <w:rPr>
          <w:rFonts w:ascii="Times New Roman" w:eastAsia="Times New Roman" w:hAnsi="Times New Roman" w:cs="Times New Roman"/>
          <w:color w:val="000000"/>
          <w:spacing w:val="0"/>
          <w:w w:val="100"/>
          <w:position w:val="0"/>
          <w:shd w:val="clear" w:color="auto" w:fill="auto"/>
          <w:lang w:val="la-001" w:eastAsia="la-001" w:bidi="la-001"/>
        </w:rPr>
        <w:t>Phila</w:t>
        <w:softHyphen/>
        <w:t xml:space="preserve">delphus. </w:t>
      </w:r>
      <w:r>
        <w:rPr>
          <w:rFonts w:ascii="Times New Roman" w:eastAsia="Times New Roman" w:hAnsi="Times New Roman" w:cs="Times New Roman"/>
          <w:color w:val="000000"/>
          <w:spacing w:val="0"/>
          <w:w w:val="100"/>
          <w:position w:val="0"/>
          <w:shd w:val="clear" w:color="auto" w:fill="auto"/>
          <w:lang w:val="en-US" w:eastAsia="en-US" w:bidi="en-US"/>
        </w:rPr>
        <w:t>Ariſtobulus affirms, that the whole Scrip</w:t>
        <w:softHyphen/>
        <w:t>tures were tranſlated by the 72. Joſephus confines their labours to the books of Moſes. He therefore who cannot determine to which of the two the greateſt reſpect is due, may ſuſpend his opinion. It is certain, however, that many of the other books were tranſlated before the age of our Saviour; for they are quoted both by him and his apoſtles : and, perhaps, by a minute exa</w:t>
        <w:softHyphen/>
        <w:t>mination of ancient authors, in the ſame way that Dr Lardner has examined the Chriſtian fathers to prove the antiquity of the New Teſtament, the preciſe period in which the whole books of the Septuagint were compoſed might, with conſiderable accuracy, be aſcertained.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400 years this tranſlation was in high eſtimation with the Jews. It was read in their ſynagogues in pre</w:t>
        <w:softHyphen/>
        <w:t>ference to the Hebrew ; not only in thoſe places where Greek was the common language, but in many ſyna</w:t>
        <w:softHyphen/>
        <w:t>gogues of Jeruſalem and Judea. But when they ſaw that it was equally valued by the Chriſtians, they be</w:t>
        <w:softHyphen/>
        <w:t xml:space="preserve">came jealous of it, and at length, in the ſecond century, </w:t>
      </w:r>
      <w:r>
        <w:rPr>
          <w:rFonts w:ascii="Times New Roman" w:eastAsia="Times New Roman" w:hAnsi="Times New Roman" w:cs="Times New Roman"/>
          <w:color w:val="000000"/>
          <w:spacing w:val="0"/>
          <w:w w:val="100"/>
          <w:position w:val="0"/>
          <w:shd w:val="clear" w:color="auto" w:fill="auto"/>
          <w:lang w:val="la-001" w:eastAsia="la-001" w:bidi="la-001"/>
        </w:rPr>
        <w:t xml:space="preserve">Aquila, </w:t>
      </w:r>
      <w:r>
        <w:rPr>
          <w:rFonts w:ascii="Times New Roman" w:eastAsia="Times New Roman" w:hAnsi="Times New Roman" w:cs="Times New Roman"/>
          <w:color w:val="000000"/>
          <w:spacing w:val="0"/>
          <w:w w:val="100"/>
          <w:position w:val="0"/>
          <w:shd w:val="clear" w:color="auto" w:fill="auto"/>
          <w:lang w:val="en-US" w:eastAsia="en-US" w:bidi="en-US"/>
        </w:rPr>
        <w:t>an apoſtate Chriſtian, attempted to ſubſtitute another Greek tranſlation in its place In this work he was careful to give the ancient prophecies con</w:t>
        <w:softHyphen/>
        <w:t xml:space="preserve">cerning the Meſſiah a different turn from the Septuagint, that they might not be applicable to Chriſt. In the same deſign he was followed by </w:t>
      </w: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and Theodotion, who alſo, as St Jerome informs us, wrote out of hatred to Chriſtianity.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the Septuagint, from the ignorance, boldneſs, and careleſſneſs of tranſcribers, became full of errors. To correct theſe,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publiſhed a new edi</w:t>
        <w:softHyphen/>
        <w:t xml:space="preserve">tion in the beginning of the third century, in which he placed the tranſlations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Aquila, Symmachus, </w:t>
      </w:r>
      <w:r>
        <w:rPr>
          <w:rFonts w:ascii="Times New Roman" w:eastAsia="Times New Roman" w:hAnsi="Times New Roman" w:cs="Times New Roman"/>
          <w:color w:val="000000"/>
          <w:spacing w:val="0"/>
          <w:w w:val="100"/>
          <w:position w:val="0"/>
          <w:shd w:val="clear" w:color="auto" w:fill="auto"/>
          <w:lang w:val="en-US" w:eastAsia="en-US" w:bidi="en-US"/>
        </w:rPr>
        <w:t>and Theodotion. This edition was called T</w:t>
      </w:r>
      <w:r>
        <w:rPr>
          <w:rFonts w:ascii="Times New Roman" w:eastAsia="Times New Roman" w:hAnsi="Times New Roman" w:cs="Times New Roman"/>
          <w:i/>
          <w:iCs/>
          <w:color w:val="000000"/>
          <w:spacing w:val="0"/>
          <w:w w:val="100"/>
          <w:position w:val="0"/>
          <w:shd w:val="clear" w:color="auto" w:fill="auto"/>
          <w:lang w:val="en-US" w:eastAsia="en-US" w:bidi="en-US"/>
        </w:rPr>
        <w:t>etrapla,</w:t>
      </w:r>
      <w:r>
        <w:rPr>
          <w:rFonts w:ascii="Times New Roman" w:eastAsia="Times New Roman" w:hAnsi="Times New Roman" w:cs="Times New Roman"/>
          <w:color w:val="000000"/>
          <w:spacing w:val="0"/>
          <w:w w:val="100"/>
          <w:position w:val="0"/>
          <w:shd w:val="clear" w:color="auto" w:fill="auto"/>
          <w:lang w:val="en-US" w:eastAsia="en-US" w:bidi="en-US"/>
        </w:rPr>
        <w:t xml:space="preserve"> the tranſla</w:t>
        <w:softHyphen/>
        <w:t>tions being arranged oppoſite to one another in four columns. He alſo added one column, containing the Hebrew text in Hebrew letters, and another exhibiting it in Greek. In a ſecond edition he publiſhed two ad</w:t>
        <w:softHyphen/>
        <w:t xml:space="preserve">ditional Greek verſions; one of which was found at </w:t>
      </w:r>
      <w:r>
        <w:rPr>
          <w:rFonts w:ascii="Times New Roman" w:eastAsia="Times New Roman" w:hAnsi="Times New Roman" w:cs="Times New Roman"/>
          <w:color w:val="000000"/>
          <w:spacing w:val="0"/>
          <w:w w:val="100"/>
          <w:position w:val="0"/>
          <w:shd w:val="clear" w:color="auto" w:fill="auto"/>
          <w:lang w:val="la-001" w:eastAsia="la-001" w:bidi="la-001"/>
        </w:rPr>
        <w:t>Ni</w:t>
        <w:softHyphen/>
        <w:t xml:space="preserve">copolis,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at Jericho : this was called the </w:t>
      </w:r>
      <w:r>
        <w:rPr>
          <w:rFonts w:ascii="Times New Roman" w:eastAsia="Times New Roman" w:hAnsi="Times New Roman" w:cs="Times New Roman"/>
          <w:i/>
          <w:iCs/>
          <w:color w:val="000000"/>
          <w:spacing w:val="0"/>
          <w:w w:val="100"/>
          <w:position w:val="0"/>
          <w:shd w:val="clear" w:color="auto" w:fill="auto"/>
          <w:lang w:val="en-US" w:eastAsia="en-US" w:bidi="en-US"/>
        </w:rPr>
        <w:t>Hexapla.</w:t>
      </w:r>
      <w:r>
        <w:rPr>
          <w:rFonts w:ascii="Times New Roman" w:eastAsia="Times New Roman" w:hAnsi="Times New Roman" w:cs="Times New Roman"/>
          <w:color w:val="000000"/>
          <w:spacing w:val="0"/>
          <w:w w:val="100"/>
          <w:position w:val="0"/>
          <w:shd w:val="clear" w:color="auto" w:fill="auto"/>
          <w:lang w:val="en-US" w:eastAsia="en-US" w:bidi="en-US"/>
        </w:rPr>
        <w:t xml:space="preserve"> By comparing ſo many tranſlations,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endeavoured to form a correct copy of the Scriptures. Where they all agreed, he conſidered them right. The passages which he found in the LXX, but not in the Hebrew text, he marked with an obeliſk ; what he found in the Hebrew, but not in the LXX, he marked with an aſteriſk St Jerome ſays, that the additions which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made to the LXX, and marked with an aſteriſk, were taken from Theodotion. From this valu</w:t>
        <w:softHyphen/>
        <w:t xml:space="preserve">able work of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 xml:space="preserve">the verſion of the LXX was tranſcribed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ſeparate volume, </w:t>
      </w:r>
      <w:r>
        <w:rPr>
          <w:rFonts w:ascii="Times New Roman" w:eastAsia="Times New Roman" w:hAnsi="Times New Roman" w:cs="Times New Roman"/>
          <w:color w:val="000000"/>
          <w:spacing w:val="0"/>
          <w:w w:val="100"/>
          <w:position w:val="0"/>
          <w:shd w:val="clear" w:color="auto" w:fill="auto"/>
          <w:lang w:val="en-US" w:eastAsia="en-US" w:bidi="en-US"/>
        </w:rPr>
        <w:t>with the aſteriſks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Blair's lectures on the Canon.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Stillingflett's Origines Sacrae.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Prideaux's Connections, vol. iii. 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Biograph. Britan.</w:t>
      </w:r>
    </w:p>
    <w:sectPr>
      <w:footnotePr>
        <w:pos w:val="pageBottom"/>
        <w:numFmt w:val="decimal"/>
        <w:numRestart w:val="continuous"/>
      </w:footnotePr>
      <w:pgSz w:w="12240" w:h="15840"/>
      <w:pgMar w:top="1245" w:left="838" w:right="838" w:bottom="1641" w:header="0" w:footer="3" w:gutter="19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