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liſhed at Edinburgh tables ſomewhat ſimilar, founded on the ſame experiments. Both of theſe tables ſhow the quantities by meaſure correſponding to every unit by weight of Sir Charles Blagden’s experiments, and for every degree of temperature. They alſo ſhow the </w:t>
      </w:r>
      <w:r>
        <w:rPr>
          <w:rFonts w:ascii="Times New Roman" w:eastAsia="Times New Roman" w:hAnsi="Times New Roman" w:cs="Times New Roman"/>
          <w:i/>
          <w:iCs/>
          <w:color w:val="000000"/>
          <w:spacing w:val="0"/>
          <w:w w:val="100"/>
          <w:position w:val="0"/>
          <w:shd w:val="clear" w:color="auto" w:fill="auto"/>
          <w:lang w:val="en-US" w:eastAsia="en-US" w:bidi="en-US"/>
        </w:rPr>
        <w:t>percentage</w:t>
      </w:r>
      <w:r>
        <w:rPr>
          <w:rFonts w:ascii="Times New Roman" w:eastAsia="Times New Roman" w:hAnsi="Times New Roman" w:cs="Times New Roman"/>
          <w:color w:val="000000"/>
          <w:spacing w:val="0"/>
          <w:w w:val="100"/>
          <w:position w:val="0"/>
          <w:shd w:val="clear" w:color="auto" w:fill="auto"/>
          <w:lang w:val="en-US" w:eastAsia="en-US" w:bidi="en-US"/>
        </w:rPr>
        <w:t xml:space="preserve"> of alcohol, and the condenſation or the quan</w:t>
        <w:softHyphen/>
        <w:t>tity lost by mixture. But as they both retain the ori</w:t>
        <w:softHyphen/>
        <w:t>ginal ſeries of parts by weight, which is very unuſual, the ſpirit traders will find conſiderable difficulty in ma</w:t>
        <w:softHyphen/>
        <w:t>king uſe of them. Retaining this ſeries alſo cauſes all the percentag</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numbers (which are the only intereſting ones to the trader) to be fractional, and no anſwer can be had without a double interpolation.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therefore calculated a table in the form in which it muſt be moſt uſeful and acceptable to thoſe who are engaged in the ſpirit trade, ſhowing at once the ſpecific gravity which reſults from any proportion of admixture in hundredth parts of the whole. This anſwers immediately the chief queſtions in the terms in which they are uſually conceived and propoſed. The two firſt or leading columns ſhow the proportion in gallons, pints, or other cubic meaſures, of the mixture, the whole quantity being always 100.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column ſhows the correſponding ſpecific gravity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we can either find the proportion of the ingredients by the </w:t>
      </w:r>
      <w:r>
        <w:rPr>
          <w:rFonts w:ascii="Times New Roman" w:eastAsia="Times New Roman" w:hAnsi="Times New Roman" w:cs="Times New Roman"/>
          <w:color w:val="000000"/>
          <w:spacing w:val="0"/>
          <w:w w:val="100"/>
          <w:position w:val="0"/>
          <w:shd w:val="clear" w:color="auto" w:fill="auto"/>
          <w:lang w:val="en-US" w:eastAsia="en-US" w:bidi="en-US"/>
        </w:rPr>
        <w:t>obſerved ſpecific gravity, or find the gravity reſulting from any proportion ot the ingredients. A third co</w:t>
        <w:softHyphen/>
        <w:t>lumn ſhows how much the hundred meaſures of the two ingredients fall ſhort of making an hundred meaſures of the compound. A simple proportion, which can be done without the pen, will determine what part of this deficiency muſt be made up by ſpirit. The uſe of this table muſt now be ſo familiar to the reader’s mind, that we need not give further inſtructions about it.</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54" w:left="929" w:right="929" w:bottom="1871" w:header="0" w:footer="3" w:gutter="1756"/>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This is followed by another ſimilar table, giving an immediate anſwer to the moſt usual queſtion,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 many meaſures of alcohol are there really contained in 100 meaſures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is alſo accompanied by a column of condenſation. It would have been ſomewhat more ele</w:t>
        <w:softHyphen/>
        <w:t>gant, had the ſpecific gravities in this table made the equable ſeries and leading column. But we did not ad</w:t>
        <w:softHyphen/>
        <w:t>vert to this till we had computed the table, and the la</w:t>
        <w:softHyphen/>
        <w:t>bour was too great to be repeated for flight reaſons. The tables are only for the temperature 60⁰. To this the ſpirituous liquors can always be brought in theſe cli</w:t>
        <w:softHyphen/>
        <w:t xml:space="preserve">mates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caſes where we cannot, a moment’s inspection of Sir Charles Blagden’s table will point out very nearly (or exactly, by a ſhort computation) the neceſſary corrections.</w:t>
      </w:r>
    </w:p>
    <w:tbl>
      <w:tblPr>
        <w:tblOverlap w:val="never"/>
        <w:jc w:val="left"/>
        <w:tblLayout w:type="fixed"/>
      </w:tblPr>
      <w:tblGrid>
        <w:gridCol w:w="443"/>
        <w:gridCol w:w="432"/>
        <w:gridCol w:w="745"/>
        <w:gridCol w:w="443"/>
        <w:gridCol w:w="421"/>
        <w:gridCol w:w="432"/>
        <w:gridCol w:w="360"/>
        <w:gridCol w:w="767"/>
        <w:gridCol w:w="457"/>
        <w:gridCol w:w="443"/>
        <w:gridCol w:w="396"/>
        <w:gridCol w:w="446"/>
        <w:gridCol w:w="742"/>
        <w:gridCol w:w="493"/>
      </w:tblGrid>
      <w:tr>
        <w:trPr>
          <w:trHeight w:val="302"/>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Compound.</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Specific</w:t>
            </w:r>
          </w:p>
          <w:p>
            <w:pPr>
              <w:pStyle w:val="Style6"/>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Gravity.</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52" w:lineRule="auto"/>
              <w:ind w:left="0" w:firstLine="0"/>
              <w:jc w:val="left"/>
              <w:rPr>
                <w:sz w:val="12"/>
                <w:szCs w:val="12"/>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Cond. </w:t>
            </w:r>
            <w:r>
              <w:rPr>
                <w:rFonts w:ascii="Times New Roman" w:eastAsia="Times New Roman" w:hAnsi="Times New Roman" w:cs="Times New Roman"/>
                <w:b/>
                <w:bCs/>
                <w:i/>
                <w:iCs/>
                <w:color w:val="000000"/>
                <w:spacing w:val="0"/>
                <w:w w:val="100"/>
                <w:position w:val="0"/>
                <w:sz w:val="12"/>
                <w:szCs w:val="12"/>
                <w:shd w:val="clear" w:color="auto" w:fill="auto"/>
                <w:lang w:val="en-US" w:eastAsia="en-US" w:bidi="en-US"/>
              </w:rPr>
              <w:t>per cent.</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&gt;nιp&lt;&gt;U! d.</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Specific</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Gravity.</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Cond.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b/>
                <w:bCs/>
                <w:i/>
                <w:iCs/>
                <w:color w:val="000000"/>
                <w:spacing w:val="0"/>
                <w:w w:val="100"/>
                <w:position w:val="0"/>
                <w:sz w:val="12"/>
                <w:szCs w:val="12"/>
                <w:shd w:val="clear" w:color="auto" w:fill="auto"/>
                <w:lang w:val="en-US" w:eastAsia="en-US" w:bidi="en-US"/>
              </w:rPr>
              <w:t>cent.</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Compound.</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Specific</w:t>
            </w:r>
          </w:p>
          <w:p>
            <w:pPr>
              <w:pStyle w:val="Style6"/>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Gravity.</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52" w:lineRule="auto"/>
              <w:ind w:left="0" w:firstLine="0"/>
              <w:jc w:val="left"/>
              <w:rPr>
                <w:sz w:val="12"/>
                <w:szCs w:val="12"/>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Cond. </w:t>
            </w:r>
            <w:r>
              <w:rPr>
                <w:rFonts w:ascii="Times New Roman" w:eastAsia="Times New Roman" w:hAnsi="Times New Roman" w:cs="Times New Roman"/>
                <w:b/>
                <w:bCs/>
                <w:i/>
                <w:iCs/>
                <w:color w:val="000000"/>
                <w:spacing w:val="0"/>
                <w:w w:val="100"/>
                <w:position w:val="0"/>
                <w:sz w:val="12"/>
                <w:szCs w:val="12"/>
                <w:shd w:val="clear" w:color="auto" w:fill="auto"/>
                <w:lang w:val="en-US" w:eastAsia="en-US" w:bidi="en-US"/>
              </w:rPr>
              <w:t>per cent.</w:t>
            </w:r>
          </w:p>
        </w:tc>
      </w:tr>
      <w:tr>
        <w:trPr>
          <w:trHeight w:val="324"/>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t>
            </w:r>
          </w:p>
        </w:tc>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2"/>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IOO</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O,825O</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O,9o73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&gt;5</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C.964o</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w:t>
            </w:r>
          </w:p>
        </w:tc>
      </w:tr>
      <w:tr>
        <w:trPr>
          <w:trHeight w:val="17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O,8278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O,i9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O,9o95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O,965i</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w:t>
            </w:r>
          </w:p>
        </w:tc>
      </w:tr>
      <w:tr>
        <w:trPr>
          <w:trHeight w:val="20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0,83c6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&gt;33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O,9il6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O,9662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r>
      <w:tr>
        <w:trPr>
          <w:trHeight w:val="19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o»8333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&gt;9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3θ</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O,9673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2,I</w:t>
            </w:r>
          </w:p>
        </w:tc>
      </w:tr>
      <w:tr>
        <w:trPr>
          <w:trHeight w:val="18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o,8?6o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o&gt;9i57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O,9683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r>
      <w:tr>
        <w:trPr>
          <w:trHeight w:val="21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0,8387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&gt;9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2&gt;7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O,9693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*9</w:t>
            </w:r>
          </w:p>
        </w:tc>
      </w:tr>
      <w:tr>
        <w:trPr>
          <w:trHeight w:val="16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0,8413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&gt;7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0,9198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i,</w:t>
            </w:r>
            <w:r>
              <w:rPr>
                <w:rFonts w:ascii="Times New Roman" w:eastAsia="Times New Roman" w:hAnsi="Times New Roman" w:cs="Times New Roman"/>
                <w:color w:val="000000"/>
                <w:spacing w:val="0"/>
                <w:w w:val="100"/>
                <w:position w:val="0"/>
                <w:shd w:val="clear" w:color="auto" w:fill="auto"/>
                <w:lang w:val="en-US" w:eastAsia="en-US" w:bidi="en-US"/>
              </w:rPr>
              <w:t>9</w:t>
            </w:r>
          </w:p>
        </w:tc>
      </w:tr>
      <w:tr>
        <w:trPr>
          <w:trHeight w:val="19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0,8439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0,9218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&gt;97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158</w:t>
            </w:r>
          </w:p>
        </w:tc>
      </w:tr>
      <w:tr>
        <w:trPr>
          <w:trHeight w:val="18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0,8465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0,9238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&gt;7 !</w:t>
            </w:r>
          </w:p>
        </w:tc>
      </w:tr>
      <w:tr>
        <w:trPr>
          <w:trHeight w:val="20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0,8491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0,9257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°’9734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i,</w:t>
            </w:r>
            <w:r>
              <w:rPr>
                <w:rFonts w:ascii="Times New Roman" w:eastAsia="Times New Roman" w:hAnsi="Times New Roman" w:cs="Times New Roman"/>
                <w:color w:val="000000"/>
                <w:spacing w:val="0"/>
                <w:w w:val="100"/>
                <w:position w:val="0"/>
                <w:shd w:val="clear" w:color="auto" w:fill="auto"/>
                <w:lang w:val="en-US" w:eastAsia="en-US" w:bidi="en-US"/>
              </w:rPr>
              <w:t>6 1</w:t>
            </w:r>
          </w:p>
        </w:tc>
      </w:tr>
      <w:tr>
        <w:trPr>
          <w:trHeight w:val="18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0,8516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0,9277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 I</w:t>
            </w:r>
          </w:p>
        </w:tc>
      </w:tr>
      <w:tr>
        <w:trPr>
          <w:trHeight w:val="19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c,8 c42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c,9296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&gt;9754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vertAlign w:val="superscript"/>
                <w:lang w:val="en-US" w:eastAsia="en-US" w:bidi="en-US"/>
              </w:rPr>
              <w:t>1,5</w:t>
            </w:r>
            <w:r>
              <w:rPr>
                <w:rFonts w:ascii="Arial" w:eastAsia="Arial" w:hAnsi="Arial" w:cs="Arial"/>
                <w:color w:val="000000"/>
                <w:spacing w:val="0"/>
                <w:w w:val="100"/>
                <w:position w:val="0"/>
                <w:sz w:val="20"/>
                <w:szCs w:val="20"/>
                <w:shd w:val="clear" w:color="auto" w:fill="auto"/>
                <w:lang w:val="en-US" w:eastAsia="en-US" w:bidi="en-US"/>
              </w:rPr>
              <w:t xml:space="preserve"> i</w:t>
            </w:r>
          </w:p>
        </w:tc>
      </w:tr>
      <w:tr>
        <w:trPr>
          <w:trHeight w:val="19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0,8567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&gt;3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0,9316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0,9763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i,</w:t>
            </w:r>
            <w:r>
              <w:rPr>
                <w:rFonts w:ascii="Times New Roman" w:eastAsia="Times New Roman" w:hAnsi="Times New Roman" w:cs="Times New Roman"/>
                <w:color w:val="000000"/>
                <w:spacing w:val="0"/>
                <w:w w:val="100"/>
                <w:position w:val="0"/>
                <w:shd w:val="clear" w:color="auto" w:fill="auto"/>
                <w:lang w:val="en-US" w:eastAsia="en-US" w:bidi="en-US"/>
              </w:rPr>
              <w:t>4 1</w:t>
            </w:r>
          </w:p>
        </w:tc>
      </w:tr>
      <w:tr>
        <w:trPr>
          <w:trHeight w:val="19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0,8592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&gt;9335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&gt;9773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1</w:t>
            </w:r>
          </w:p>
        </w:tc>
      </w:tr>
      <w:tr>
        <w:trPr>
          <w:trHeight w:val="173"/>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 86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0,8617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&gt;5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&gt;9353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 j</w:t>
            </w:r>
          </w:p>
        </w:tc>
      </w:tr>
      <w:tr>
        <w:trPr>
          <w:trHeight w:val="19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fr-FR" w:eastAsia="fr-FR" w:bidi="fr-FR"/>
              </w:rPr>
              <w:t>Ç</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0,8641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0,0371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&gt;9793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1&gt;2</w:t>
            </w:r>
          </w:p>
        </w:tc>
      </w:tr>
      <w:tr>
        <w:trPr>
          <w:trHeight w:val="20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0,8666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c,9388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0,9802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I&gt;I</w:t>
            </w:r>
          </w:p>
        </w:tc>
      </w:tr>
      <w:tr>
        <w:trPr>
          <w:trHeight w:val="19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0,8690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&gt;7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c,94c6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0,9812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r>
      <w:tr>
        <w:trPr>
          <w:trHeight w:val="18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0&gt;S713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&gt;7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&gt;94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0,9822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w:t>
            </w:r>
          </w:p>
        </w:tc>
      </w:tr>
      <w:tr>
        <w:trPr>
          <w:trHeight w:val="19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0.8737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&gt;7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0,9440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0,9832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w:t>
            </w:r>
          </w:p>
        </w:tc>
      </w:tr>
      <w:tr>
        <w:trPr>
          <w:trHeight w:val="19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0,876c</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0,9456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0,9842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w:t>
            </w:r>
          </w:p>
        </w:tc>
      </w:tr>
      <w:tr>
        <w:trPr>
          <w:trHeight w:val="21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0,8764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&gt;9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&gt;9473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53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°&gt;7</w:t>
            </w:r>
          </w:p>
        </w:tc>
      </w:tr>
      <w:tr>
        <w:trPr>
          <w:trHeight w:val="18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0,8807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0,9489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I</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0,9863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o,7</w:t>
            </w:r>
          </w:p>
        </w:tc>
      </w:tr>
      <w:tr>
        <w:trPr>
          <w:trHeight w:val="18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0,8830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0,9505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0,9874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w:t>
            </w:r>
          </w:p>
        </w:tc>
      </w:tr>
      <w:tr>
        <w:trPr>
          <w:trHeight w:val="18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0,8853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0,9320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2χ7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0,9886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r>
      <w:tr>
        <w:trPr>
          <w:trHeight w:val="20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0,8876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0,9897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w:t>
            </w:r>
          </w:p>
        </w:tc>
      </w:tr>
      <w:tr>
        <w:trPr>
          <w:trHeight w:val="20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0,8899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&gt;9549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0,9909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r>
      <w:tr>
        <w:trPr>
          <w:trHeight w:val="18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73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0,8921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0,9563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0,9921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w:t>
            </w:r>
          </w:p>
        </w:tc>
      </w:tr>
      <w:tr>
        <w:trPr>
          <w:trHeight w:val="18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0,8944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&gt;9577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&gt;9933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w:t>
            </w:r>
          </w:p>
        </w:tc>
      </w:tr>
      <w:tr>
        <w:trPr>
          <w:trHeight w:val="20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0,8966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0,9590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.&lt; </w:t>
            </w: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0,9946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w:t>
            </w:r>
          </w:p>
        </w:tc>
      </w:tr>
      <w:tr>
        <w:trPr>
          <w:trHeight w:val="18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0,8988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&gt;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c,6603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0,9959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0,07</w:t>
            </w:r>
          </w:p>
        </w:tc>
      </w:tr>
      <w:tr>
        <w:trPr>
          <w:trHeight w:val="19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0,9010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0,9616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0,9972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0,03</w:t>
            </w:r>
          </w:p>
        </w:tc>
      </w:tr>
      <w:tr>
        <w:trPr>
          <w:trHeight w:val="19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0,9031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c,9628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0,9985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w:t>
            </w:r>
          </w:p>
        </w:tc>
      </w:tr>
      <w:tr>
        <w:trPr>
          <w:trHeight w:val="19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0,9053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0,9640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IOO</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 I,OOCO</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0,00</w:t>
            </w:r>
          </w:p>
        </w:tc>
      </w:tr>
      <w:tr>
        <w:trPr>
          <w:trHeight w:val="227"/>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0,9073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&gt;5</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right w:val="single" w:sz="4"/>
            </w:tcBorders>
            <w:shd w:val="clear" w:color="auto" w:fill="FFFFFF"/>
            <w:vAlign w:val="top"/>
          </w:tcPr>
          <w:p>
            <w:pPr>
              <w:widowControl w:val="0"/>
              <w:rPr>
                <w:sz w:val="10"/>
                <w:szCs w:val="10"/>
              </w:rPr>
            </w:pPr>
          </w:p>
        </w:tc>
      </w:tr>
    </w:tbl>
    <w:sectPr>
      <w:footnotePr>
        <w:pos w:val="pageBottom"/>
        <w:numFmt w:val="decimal"/>
        <w:numRestart w:val="continuous"/>
      </w:footnotePr>
      <w:type w:val="continuous"/>
      <w:pgSz w:w="12240" w:h="15840"/>
      <w:pgMar w:top="1282" w:left="808" w:right="808" w:bottom="1282" w:header="0" w:footer="3" w:gutter="199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7">
    <w:name w:val="Other_"/>
    <w:basedOn w:val="DefaultParagraphFont"/>
    <w:link w:val="Style6"/>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