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inſtant of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near 1800 years old, and yet may be not more than one minute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ſenſible qualities are real things independent of their ſub</w:t>
        <w:softHyphen/>
        <w:t xml:space="preserve">ject and the ſentient beings who perceive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infinite and eternal God, who created and ſuſtains the univerſe, is himſelf wholly and ſubſtantially comprehended by the human ſoul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 half, or fourth, or tenth part of the body of Chriſt, is equal to the whole of that body. That theſe are neceſſary conſequences of tranſubstantiation has been ſo completely proved in various works @@(c) to which every reader may have acceſs, that it is needless for us to repeat arguments ſo hackneyed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two objections to that doctrine, which, as we do not re</w:t>
        <w:softHyphen/>
        <w:t>member to have met with them elſewhere, and as they appear to us abſolutely concluſive, it may be worth while to ſtate in this place.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advocates for the real preſence in the Lord’s Sup</w:t>
        <w:softHyphen/>
        <w:t xml:space="preserve">per contend, that every word relating to that ordinance is to be taken in the ſtricteſt and moſt literal ſenſe, and they affect to triumph over the Proteſtants, becauſe their notions of the ſacrament cannot be ſupported without having recourſe to figure and metaphor. This however is a very vain triumph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heſitate not to affirm, that ſuppoſing tranſubſtantiation poſſible, and even capable of proof, there is not in the whole New Teſtament a ſingle word or a single phraſe which, if interpreted </w:t>
      </w:r>
      <w:r>
        <w:rPr>
          <w:rFonts w:ascii="Times New Roman" w:eastAsia="Times New Roman" w:hAnsi="Times New Roman" w:cs="Times New Roman"/>
          <w:i/>
          <w:iCs/>
          <w:color w:val="000000"/>
          <w:spacing w:val="0"/>
          <w:w w:val="100"/>
          <w:position w:val="0"/>
          <w:shd w:val="clear" w:color="auto" w:fill="auto"/>
          <w:lang w:val="en-US" w:eastAsia="en-US" w:bidi="en-US"/>
        </w:rPr>
        <w:t>literally,</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ſlighteſt countenance to that wonderful doctrine. The reader will remember, that tranſubſtantiation, as we have ſtated it from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dignitary of the Romiſh church, and as it is in fact ſtated by the council of Trent @@</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in a change of the </w:t>
      </w:r>
      <w:r>
        <w:rPr>
          <w:rFonts w:ascii="Times New Roman" w:eastAsia="Times New Roman" w:hAnsi="Times New Roman" w:cs="Times New Roman"/>
          <w:i/>
          <w:iCs/>
          <w:color w:val="000000"/>
          <w:spacing w:val="0"/>
          <w:w w:val="100"/>
          <w:position w:val="0"/>
          <w:shd w:val="clear" w:color="auto" w:fill="auto"/>
          <w:lang w:val="en-US" w:eastAsia="en-US" w:bidi="en-US"/>
        </w:rPr>
        <w:t>matter, imperceptible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into the </w:t>
      </w:r>
      <w:r>
        <w:rPr>
          <w:rFonts w:ascii="Times New Roman" w:eastAsia="Times New Roman" w:hAnsi="Times New Roman" w:cs="Times New Roman"/>
          <w:i/>
          <w:iCs/>
          <w:color w:val="000000"/>
          <w:spacing w:val="0"/>
          <w:w w:val="100"/>
          <w:position w:val="0"/>
          <w:shd w:val="clear" w:color="auto" w:fill="auto"/>
          <w:lang w:val="en-US" w:eastAsia="en-US" w:bidi="en-US"/>
        </w:rPr>
        <w:t>matter, imperceptible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su</w:t>
      </w:r>
      <w:r>
        <w:rPr>
          <w:rFonts w:ascii="Times New Roman" w:eastAsia="Times New Roman" w:hAnsi="Times New Roman" w:cs="Times New Roman"/>
          <w:i/>
          <w:iCs/>
          <w:color w:val="000000"/>
          <w:spacing w:val="0"/>
          <w:w w:val="100"/>
          <w:position w:val="0"/>
          <w:shd w:val="clear" w:color="auto" w:fill="auto"/>
          <w:lang w:val="en-US" w:eastAsia="en-US" w:bidi="en-US"/>
        </w:rPr>
        <w:t>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Chriſt’s body and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parties agree that the ſenſible qualities of the bread and wine remain, and, accord</w:t>
        <w:softHyphen/>
        <w:t xml:space="preserve">ing to the Romaniſt, are after conſeration either ſupported by the </w:t>
      </w:r>
      <w:r>
        <w:rPr>
          <w:rFonts w:ascii="Times New Roman" w:eastAsia="Times New Roman" w:hAnsi="Times New Roman" w:cs="Times New Roman"/>
          <w:i/>
          <w:iCs/>
          <w:color w:val="000000"/>
          <w:spacing w:val="0"/>
          <w:w w:val="100"/>
          <w:position w:val="0"/>
          <w:shd w:val="clear" w:color="auto" w:fill="auto"/>
          <w:lang w:val="en-US" w:eastAsia="en-US" w:bidi="en-US"/>
        </w:rPr>
        <w:t>matter of</w:t>
      </w:r>
      <w:r>
        <w:rPr>
          <w:rFonts w:ascii="Times New Roman" w:eastAsia="Times New Roman" w:hAnsi="Times New Roman" w:cs="Times New Roman"/>
          <w:color w:val="000000"/>
          <w:spacing w:val="0"/>
          <w:w w:val="100"/>
          <w:position w:val="0"/>
          <w:shd w:val="clear" w:color="auto" w:fill="auto"/>
          <w:lang w:val="en-US" w:eastAsia="en-US" w:bidi="en-US"/>
        </w:rPr>
        <w:t xml:space="preserve"> Chriſt’s body and blood, or hung upon nothing. But the phraſe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τoυιο εσιι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το </w:t>
      </w:r>
      <w:r>
        <w:rPr>
          <w:rFonts w:ascii="Times New Roman" w:eastAsia="Times New Roman" w:hAnsi="Times New Roman" w:cs="Times New Roman"/>
          <w:i/>
          <w:iCs/>
          <w:color w:val="000000"/>
          <w:spacing w:val="0"/>
          <w:w w:val="100"/>
          <w:position w:val="0"/>
          <w:shd w:val="clear" w:color="auto" w:fill="auto"/>
          <w:lang w:val="en-US" w:eastAsia="en-US" w:bidi="en-US"/>
        </w:rPr>
        <w:t>ϲωμα</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μoυ, if</w:t>
      </w:r>
      <w:r>
        <w:rPr>
          <w:rFonts w:ascii="Times New Roman" w:eastAsia="Times New Roman" w:hAnsi="Times New Roman" w:cs="Times New Roman"/>
          <w:color w:val="000000"/>
          <w:spacing w:val="0"/>
          <w:w w:val="100"/>
          <w:position w:val="0"/>
          <w:shd w:val="clear" w:color="auto" w:fill="auto"/>
          <w:lang w:val="en-US" w:eastAsia="en-US" w:bidi="en-US"/>
        </w:rPr>
        <w:t xml:space="preserve"> taken in the literal ſenſe, cannot possibly denote the conſequence of ſuch a change as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every perſon at all acquainted with the Greek language, eſpecially the language of the Peripatetic school, knows that το</w:t>
      </w:r>
      <w:r>
        <w:rPr>
          <w:rFonts w:ascii="Times New Roman" w:eastAsia="Times New Roman" w:hAnsi="Times New Roman" w:cs="Times New Roman"/>
          <w:i/>
          <w:iCs/>
          <w:color w:val="000000"/>
          <w:spacing w:val="0"/>
          <w:w w:val="100"/>
          <w:position w:val="0"/>
          <w:shd w:val="clear" w:color="auto" w:fill="auto"/>
          <w:lang w:val="en-US" w:eastAsia="en-US" w:bidi="en-US"/>
        </w:rPr>
        <w:t xml:space="preserve"> σωμα μoυ</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not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diveſted of its ſenſible qua</w:t>
        <w:softHyphen/>
        <w:t xml:space="preserve">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body of me in its natural ſtate, conſiſting of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qualities,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matter and form united.</w:t>
      </w:r>
      <w:r>
        <w:rPr>
          <w:rFonts w:ascii="Times New Roman" w:eastAsia="Times New Roman" w:hAnsi="Times New Roman" w:cs="Times New Roman"/>
          <w:color w:val="000000"/>
          <w:spacing w:val="0"/>
          <w:w w:val="100"/>
          <w:position w:val="0"/>
          <w:shd w:val="clear" w:color="auto" w:fill="auto"/>
          <w:lang w:val="en-US" w:eastAsia="en-US" w:bidi="en-US"/>
        </w:rPr>
        <w:t xml:space="preserve"> Unleſs there</w:t>
        <w:softHyphen/>
        <w:t xml:space="preserve">fore the </w:t>
      </w:r>
      <w:r>
        <w:rPr>
          <w:rFonts w:ascii="Times New Roman" w:eastAsia="Times New Roman" w:hAnsi="Times New Roman" w:cs="Times New Roman"/>
          <w:i/>
          <w:iCs/>
          <w:color w:val="000000"/>
          <w:spacing w:val="0"/>
          <w:w w:val="100"/>
          <w:position w:val="0"/>
          <w:shd w:val="clear" w:color="auto" w:fill="auto"/>
          <w:lang w:val="en-US" w:eastAsia="en-US" w:bidi="en-US"/>
        </w:rPr>
        <w:t>ſenſible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give place to the ſenſible </w:t>
      </w:r>
      <w:r>
        <w:rPr>
          <w:rFonts w:ascii="Times New Roman" w:eastAsia="Times New Roman" w:hAnsi="Times New Roman" w:cs="Times New Roman"/>
          <w:i/>
          <w:iCs/>
          <w:color w:val="000000"/>
          <w:spacing w:val="0"/>
          <w:w w:val="100"/>
          <w:position w:val="0"/>
          <w:shd w:val="clear" w:color="auto" w:fill="auto"/>
          <w:lang w:val="en-US" w:eastAsia="en-US" w:bidi="en-US"/>
        </w:rPr>
        <w:t>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our Saviour’s body and blood, and unleſs he ap</w:t>
        <w:softHyphen/>
      </w:r>
      <w:r>
        <w:rPr>
          <w:rFonts w:ascii="Times New Roman" w:eastAsia="Times New Roman" w:hAnsi="Times New Roman" w:cs="Times New Roman"/>
          <w:color w:val="000000"/>
          <w:spacing w:val="0"/>
          <w:w w:val="100"/>
          <w:position w:val="0"/>
          <w:shd w:val="clear" w:color="auto" w:fill="auto"/>
          <w:lang w:val="en-US" w:eastAsia="en-US" w:bidi="en-US"/>
        </w:rPr>
        <w:t>pear glorified on the altar as he appeared on the mount at his transfiguration, the words το</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σωμa μoυ</w:t>
      </w:r>
      <w:r>
        <w:rPr>
          <w:rFonts w:ascii="Times New Roman" w:eastAsia="Times New Roman" w:hAnsi="Times New Roman" w:cs="Times New Roman"/>
          <w:color w:val="000000"/>
          <w:spacing w:val="0"/>
          <w:w w:val="100"/>
          <w:position w:val="0"/>
          <w:shd w:val="clear" w:color="auto" w:fill="auto"/>
          <w:lang w:val="en-US" w:eastAsia="en-US" w:bidi="en-US"/>
        </w:rPr>
        <w:t xml:space="preserve"> muſt be interpreted figuratively. Had the apoſtles underſtood their Maſter’s words in the ſenſe in which they are underſtood by the church of Rome, they would have rendered them into Greek, not τoυιο εσιι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σωμα μoυ,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my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but τουιο εσιι ή</w:t>
      </w:r>
      <w:r>
        <w:rPr>
          <w:rFonts w:ascii="Times New Roman" w:eastAsia="Times New Roman" w:hAnsi="Times New Roman" w:cs="Times New Roman"/>
          <w:color w:val="000000"/>
          <w:spacing w:val="0"/>
          <w:w w:val="100"/>
          <w:position w:val="0"/>
          <w:shd w:val="clear" w:color="auto" w:fill="auto"/>
          <w:lang w:val="el-GR" w:eastAsia="el-GR" w:bidi="el-GR"/>
        </w:rPr>
        <w:t xml:space="preserve"> ύλυ</w:t>
      </w:r>
      <w:r>
        <w:rPr>
          <w:rFonts w:ascii="Times New Roman" w:eastAsia="Times New Roman" w:hAnsi="Times New Roman" w:cs="Times New Roman"/>
          <w:i/>
          <w:iCs/>
          <w:color w:val="000000"/>
          <w:spacing w:val="0"/>
          <w:w w:val="100"/>
          <w:position w:val="0"/>
          <w:shd w:val="clear" w:color="auto" w:fill="auto"/>
          <w:lang w:val="el-GR" w:eastAsia="el-GR" w:bidi="el-GR"/>
        </w:rPr>
        <w:t xml:space="preserve"> σωμαιος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In like manner, when St John relates @@* that Jeſus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ſo eateth my fleſh and drinketh my blood, hath eternal life, and I will raiſe him up at the laſt day,” had he un</w:t>
        <w:softHyphen/>
        <w:t xml:space="preserve">derſtood his adorable Maſter to ſpeak of his fleſh and blood in the Euchariſt in the ſenſe in which they are taught to be there by the church of Rome, he would have repreſented him as ſaying, not Ο' τpωγων </w:t>
      </w:r>
      <w:r>
        <w:rPr>
          <w:rFonts w:ascii="Times New Roman" w:eastAsia="Times New Roman" w:hAnsi="Times New Roman" w:cs="Times New Roman"/>
          <w:i/>
          <w:iCs/>
          <w:color w:val="000000"/>
          <w:spacing w:val="0"/>
          <w:w w:val="100"/>
          <w:position w:val="0"/>
          <w:shd w:val="clear" w:color="auto" w:fill="auto"/>
          <w:lang w:val="en-US" w:eastAsia="en-US" w:bidi="en-US"/>
        </w:rPr>
        <w:t>μου την σαγων,</w:t>
      </w:r>
      <w:r>
        <w:rPr>
          <w:rFonts w:ascii="Times New Roman" w:eastAsia="Times New Roman" w:hAnsi="Times New Roman" w:cs="Times New Roman"/>
          <w:color w:val="000000"/>
          <w:spacing w:val="0"/>
          <w:w w:val="100"/>
          <w:position w:val="0"/>
          <w:shd w:val="clear" w:color="auto" w:fill="auto"/>
          <w:lang w:val="en-US" w:eastAsia="en-US" w:bidi="en-US"/>
        </w:rPr>
        <w:t xml:space="preserve"> ϰ</w:t>
      </w:r>
      <w:r>
        <w:rPr>
          <w:rFonts w:ascii="Times New Roman" w:eastAsia="Times New Roman" w:hAnsi="Times New Roman" w:cs="Times New Roman"/>
          <w:color w:val="000000"/>
          <w:spacing w:val="0"/>
          <w:w w:val="100"/>
          <w:position w:val="0"/>
          <w:shd w:val="clear" w:color="auto" w:fill="auto"/>
          <w:lang w:val="el-GR" w:eastAsia="el-GR" w:bidi="el-GR"/>
        </w:rPr>
        <w:t>αι πινων</w:t>
      </w:r>
      <w:r>
        <w:rPr>
          <w:rFonts w:ascii="Times New Roman" w:eastAsia="Times New Roman" w:hAnsi="Times New Roman" w:cs="Times New Roman"/>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μου το άιμα,</w:t>
      </w:r>
      <w:r>
        <w:rPr>
          <w:rFonts w:ascii="Arial" w:eastAsia="Arial" w:hAnsi="Arial" w:cs="Arial"/>
          <w:b/>
          <w:bCs/>
          <w:color w:val="000000"/>
          <w:spacing w:val="0"/>
          <w:w w:val="100"/>
          <w:position w:val="0"/>
          <w:sz w:val="13"/>
          <w:szCs w:val="13"/>
          <w:shd w:val="clear" w:color="auto" w:fill="auto"/>
          <w:lang w:val="en-US" w:eastAsia="en-US" w:bidi="en-US"/>
        </w:rPr>
        <w:t xml:space="preserve"> but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Ο'</w:t>
      </w:r>
      <w:r>
        <w:rPr>
          <w:rFonts w:ascii="Arial" w:eastAsia="Arial" w:hAnsi="Arial" w:cs="Arial"/>
          <w:b/>
          <w:bCs/>
          <w:color w:val="000000"/>
          <w:spacing w:val="0"/>
          <w:w w:val="100"/>
          <w:position w:val="0"/>
          <w:sz w:val="13"/>
          <w:szCs w:val="13"/>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τpωyωv τηv</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μου τϛ σαρϰοϛ,</w:t>
      </w:r>
      <w:r>
        <w:rPr>
          <w:rFonts w:ascii="Arial" w:eastAsia="Arial" w:hAnsi="Arial" w:cs="Arial"/>
          <w:b/>
          <w:b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ϰαι πινων</w:t>
      </w:r>
      <w:r>
        <w:rPr>
          <w:rFonts w:ascii="Arial" w:eastAsia="Arial" w:hAnsi="Arial" w:cs="Arial"/>
          <w:b/>
          <w:bCs/>
          <w:color w:val="000000"/>
          <w:spacing w:val="0"/>
          <w:w w:val="100"/>
          <w:position w:val="0"/>
          <w:sz w:val="13"/>
          <w:szCs w:val="13"/>
          <w:shd w:val="clear" w:color="auto" w:fill="auto"/>
          <w:lang w:val="en-US" w:eastAsia="en-US" w:bidi="en-US"/>
        </w:rPr>
        <w:t xml:space="preserve"> τ</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η</w:t>
      </w:r>
      <w:r>
        <w:rPr>
          <w:rFonts w:ascii="Arial" w:eastAsia="Arial" w:hAnsi="Arial" w:cs="Arial"/>
          <w:b/>
          <w:bCs/>
          <w:color w:val="000000"/>
          <w:spacing w:val="0"/>
          <w:w w:val="100"/>
          <w:position w:val="0"/>
          <w:sz w:val="13"/>
          <w:szCs w:val="13"/>
          <w:shd w:val="clear" w:color="auto" w:fill="auto"/>
          <w:lang w:val="en-US" w:eastAsia="en-US" w:bidi="en-US"/>
        </w:rPr>
        <w:t xml:space="preserve">v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υλγγ</w:t>
      </w:r>
      <w:r>
        <w:rPr>
          <w:rFonts w:ascii="Arial" w:eastAsia="Arial" w:hAnsi="Arial" w:cs="Arial"/>
          <w:b/>
          <w:b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μου </w:t>
      </w:r>
      <w:r>
        <w:rPr>
          <w:rFonts w:ascii="Times New Roman" w:eastAsia="Times New Roman" w:hAnsi="Times New Roman" w:cs="Times New Roman"/>
          <w:color w:val="000000"/>
          <w:spacing w:val="0"/>
          <w:w w:val="100"/>
          <w:position w:val="0"/>
          <w:shd w:val="clear" w:color="auto" w:fill="auto"/>
          <w:lang w:val="el-GR" w:eastAsia="el-GR" w:bidi="el-GR"/>
        </w:rPr>
        <w:t>του άιμαιο</w:t>
      </w:r>
      <w:r>
        <w:rPr>
          <w:rFonts w:ascii="Times New Roman" w:eastAsia="Times New Roman" w:hAnsi="Times New Roman" w:cs="Times New Roman"/>
          <w:color w:val="000000"/>
          <w:spacing w:val="0"/>
          <w:w w:val="100"/>
          <w:position w:val="0"/>
          <w:shd w:val="clear" w:color="auto" w:fill="auto"/>
          <w:lang w:val="en-US" w:eastAsia="en-US" w:bidi="en-US"/>
        </w:rPr>
        <w:t>ϛ</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whoſo eateth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fleſh, and drinketh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blood, hath eternal life, and I will raiſe him up at the laſt day.”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further, ſuppoſing this singular converſion poſſible in itſelf, it cannot be rendered credible, however ſtated in any language that ever was or ever will be ſpoken by man. At firſt light it may appear paradoxical to affirm, that a poſſible fact cannot be ſo related as to obtain credit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tranſubſtantiation, if poſſible, is ſuch a fact, will be apparent on the ſlighteſt conſideration.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relation that ſubſiſts between things and words is arbitrary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what is termed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is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σωμα.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and </w:t>
      </w:r>
      <w:r>
        <w:rPr>
          <w:rFonts w:ascii="Times New Roman" w:eastAsia="Times New Roman" w:hAnsi="Times New Roman" w:cs="Times New Roman"/>
          <w:i/>
          <w:iCs/>
          <w:color w:val="000000"/>
          <w:spacing w:val="0"/>
          <w:w w:val="100"/>
          <w:position w:val="0"/>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in Latin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thing might with equal propriety (had the authors of theſe languages ſo pleaſed) have been expreſſed in the firſt by s</w:t>
      </w:r>
      <w:r>
        <w:rPr>
          <w:rFonts w:ascii="Times New Roman" w:eastAsia="Times New Roman" w:hAnsi="Times New Roman" w:cs="Times New Roman"/>
          <w:i/>
          <w:iCs/>
          <w:color w:val="000000"/>
          <w:spacing w:val="0"/>
          <w:w w:val="100"/>
          <w:position w:val="0"/>
          <w:shd w:val="clear" w:color="auto" w:fill="auto"/>
          <w:lang w:val="en-US" w:eastAsia="en-US" w:bidi="en-US"/>
        </w:rPr>
        <w:t>oul,</w:t>
      </w:r>
      <w:r>
        <w:rPr>
          <w:rFonts w:ascii="Times New Roman" w:eastAsia="Times New Roman" w:hAnsi="Times New Roman" w:cs="Times New Roman"/>
          <w:color w:val="000000"/>
          <w:spacing w:val="0"/>
          <w:w w:val="100"/>
          <w:position w:val="0"/>
          <w:shd w:val="clear" w:color="auto" w:fill="auto"/>
          <w:lang w:val="en-US" w:eastAsia="en-US" w:bidi="en-US"/>
        </w:rPr>
        <w:t xml:space="preserve">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by ιουϛ,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by </w:t>
      </w:r>
      <w:r>
        <w:rPr>
          <w:rFonts w:ascii="Times New Roman" w:eastAsia="Times New Roman" w:hAnsi="Times New Roman" w:cs="Times New Roman"/>
          <w:i/>
          <w:iCs/>
          <w:color w:val="000000"/>
          <w:spacing w:val="0"/>
          <w:w w:val="100"/>
          <w:position w:val="0"/>
          <w:shd w:val="clear" w:color="auto" w:fill="auto"/>
          <w:lang w:val="en-US" w:eastAsia="en-US" w:bidi="en-US"/>
        </w:rPr>
        <w:t>anima.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Language, </w:t>
      </w:r>
      <w:r>
        <w:rPr>
          <w:rFonts w:ascii="Times New Roman" w:eastAsia="Times New Roman" w:hAnsi="Times New Roman" w:cs="Times New Roman"/>
          <w:color w:val="000000"/>
          <w:spacing w:val="0"/>
          <w:w w:val="100"/>
          <w:position w:val="0"/>
          <w:shd w:val="clear" w:color="auto" w:fill="auto"/>
          <w:lang w:val="en-US" w:eastAsia="en-US" w:bidi="en-US"/>
        </w:rPr>
        <w:t xml:space="preserve">n⁰ 3, &amp;c. ) The conſequences of this are, that there is no univerſal language ſpoken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natives of one country underſtand not the ſpeech of thoſe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dif</w:t>
        <w:softHyphen/>
        <w:t>ferent men ſpeaking the ſame language are perpetually liable to miſtake each other’s meaning. Between the substra</w:t>
      </w:r>
      <w:r>
        <w:rPr>
          <w:rFonts w:ascii="Times New Roman" w:eastAsia="Times New Roman" w:hAnsi="Times New Roman" w:cs="Times New Roman"/>
          <w:i/>
          <w:iCs/>
          <w:color w:val="000000"/>
          <w:spacing w:val="0"/>
          <w:w w:val="100"/>
          <w:position w:val="0"/>
          <w:shd w:val="clear" w:color="auto" w:fill="auto"/>
          <w:lang w:val="en-US" w:eastAsia="en-US" w:bidi="en-US"/>
        </w:rPr>
        <w:t>ta</w:t>
      </w:r>
      <w:r>
        <w:rPr>
          <w:rFonts w:ascii="Times New Roman" w:eastAsia="Times New Roman" w:hAnsi="Times New Roman" w:cs="Times New Roman"/>
          <w:color w:val="000000"/>
          <w:spacing w:val="0"/>
          <w:w w:val="100"/>
          <w:position w:val="0"/>
          <w:shd w:val="clear" w:color="auto" w:fill="auto"/>
          <w:lang w:val="en-US" w:eastAsia="en-US" w:bidi="en-US"/>
        </w:rPr>
        <w:t xml:space="preserve"> of bodies and their </w:t>
      </w:r>
      <w:r>
        <w:rPr>
          <w:rFonts w:ascii="Times New Roman" w:eastAsia="Times New Roman" w:hAnsi="Times New Roman" w:cs="Times New Roman"/>
          <w:i/>
          <w:iCs/>
          <w:color w:val="000000"/>
          <w:spacing w:val="0"/>
          <w:w w:val="100"/>
          <w:position w:val="0"/>
          <w:shd w:val="clear" w:color="auto" w:fill="auto"/>
          <w:lang w:val="en-US" w:eastAsia="en-US" w:bidi="en-US"/>
        </w:rPr>
        <w:t>ſenſible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relation founded in nature, ſo that the ſenſible qualities which indicate the ſubſtance to which they belong, to be </w:t>
      </w:r>
      <w:r>
        <w:rPr>
          <w:rFonts w:ascii="Times New Roman" w:eastAsia="Times New Roman" w:hAnsi="Times New Roman" w:cs="Times New Roman"/>
          <w:i/>
          <w:iCs/>
          <w:color w:val="000000"/>
          <w:spacing w:val="0"/>
          <w:w w:val="100"/>
          <w:position w:val="0"/>
          <w:shd w:val="clear" w:color="auto" w:fill="auto"/>
          <w:lang w:val="en-US" w:eastAsia="en-US" w:bidi="en-US"/>
        </w:rPr>
        <w:t>gold,</w:t>
      </w:r>
      <w:r>
        <w:rPr>
          <w:rFonts w:ascii="Times New Roman" w:eastAsia="Times New Roman" w:hAnsi="Times New Roman" w:cs="Times New Roman"/>
          <w:color w:val="000000"/>
          <w:spacing w:val="0"/>
          <w:w w:val="100"/>
          <w:position w:val="0"/>
          <w:shd w:val="clear" w:color="auto" w:fill="auto"/>
          <w:lang w:val="en-US" w:eastAsia="en-US" w:bidi="en-US"/>
        </w:rPr>
        <w:t xml:space="preserve"> for inſtance, in one country, indicate the ſame thing in every other coun</w:t>
        <w:softHyphen/>
        <w:t>try, and have done ſo from the beginning of time. The ſenſible appearances of bodies therefore are an univerſal language, the language of the Author of Nature, by which he declares to his creature man, that though the ύλη πρωιη, or primary matter of all bodies, may be the ſame kind of ſub</w:t>
        <w:softHyphen/>
        <w:t xml:space="preserve">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προσεχηϛ of one body, or the internal combination of its primary parts, differs from that of ano-</w:t>
      </w:r>
    </w:p>
    <w:p>
      <w:pPr>
        <w:pStyle w:val="Style2"/>
        <w:keepNext w:val="0"/>
        <w:keepLines w:val="0"/>
        <w:widowControl w:val="0"/>
        <w:shd w:val="clear" w:color="auto" w:fill="auto"/>
        <w:bidi w:val="0"/>
        <w:spacing w:line="226" w:lineRule="auto"/>
        <w:ind w:left="0" w:firstLine="360"/>
        <w:jc w:val="left"/>
        <w:sectPr>
          <w:footnotePr>
            <w:pos w:val="pageBottom"/>
            <w:numFmt w:val="decimal"/>
            <w:numRestart w:val="continuous"/>
          </w:footnotePr>
          <w:pgSz w:w="12240" w:h="15840"/>
          <w:pgMar w:top="1103" w:left="689" w:right="689" w:bottom="1324" w:header="0" w:footer="3" w:gutter="165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@@@[m]* Chap. vi. verse 54. </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neceſſary to ſalvation, with leſs ceremony than perhaps we ſhould have done, had he less poſitively pronounced our damnation for not having it in our power to embrace them. He is not indeed much leſs ſevere on the moſt virtuous heathens, though they never ſaw the New Teſtament, or heard the doctrines of his church preached. But perhaps this ſeverity may be occaſioned by the following queſtion of Cicero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Cum </w:t>
      </w:r>
      <w:r>
        <w:rPr>
          <w:rFonts w:ascii="Times New Roman" w:eastAsia="Times New Roman" w:hAnsi="Times New Roman" w:cs="Times New Roman"/>
          <w:color w:val="000000"/>
          <w:spacing w:val="0"/>
          <w:w w:val="100"/>
          <w:position w:val="0"/>
          <w:shd w:val="clear" w:color="auto" w:fill="auto"/>
          <w:lang w:val="la-001" w:eastAsia="la-001" w:bidi="la-001"/>
        </w:rPr>
        <w:t xml:space="preserve">fruges,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Cererem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vinum, </w:t>
      </w:r>
      <w:r>
        <w:rPr>
          <w:rFonts w:ascii="Times New Roman" w:eastAsia="Times New Roman" w:hAnsi="Times New Roman" w:cs="Times New Roman"/>
          <w:i/>
          <w:iCs/>
          <w:color w:val="000000"/>
          <w:spacing w:val="0"/>
          <w:w w:val="100"/>
          <w:position w:val="0"/>
          <w:shd w:val="clear" w:color="auto" w:fill="auto"/>
          <w:lang w:val="fr-FR" w:eastAsia="fr-FR" w:bidi="fr-FR"/>
        </w:rPr>
        <w:t>Li</w:t>
      </w:r>
      <w:r>
        <w:rPr>
          <w:rFonts w:ascii="Times New Roman" w:eastAsia="Times New Roman" w:hAnsi="Times New Roman" w:cs="Times New Roman"/>
          <w:i/>
          <w:iCs/>
          <w:color w:val="000000"/>
          <w:spacing w:val="0"/>
          <w:w w:val="100"/>
          <w:position w:val="0"/>
          <w:shd w:val="clear" w:color="auto" w:fill="auto"/>
          <w:lang w:val="en-US" w:eastAsia="en-US" w:bidi="en-US"/>
        </w:rPr>
        <w:t>berum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dicimus, genere nos quidem </w:t>
      </w:r>
      <w:r>
        <w:rPr>
          <w:rFonts w:ascii="Times New Roman" w:eastAsia="Times New Roman" w:hAnsi="Times New Roman" w:cs="Times New Roman"/>
          <w:color w:val="000000"/>
          <w:spacing w:val="0"/>
          <w:w w:val="100"/>
          <w:position w:val="0"/>
          <w:shd w:val="clear" w:color="auto" w:fill="auto"/>
          <w:lang w:val="en-US" w:eastAsia="en-US" w:bidi="en-US"/>
        </w:rPr>
        <w:t xml:space="preserve">ſermonis </w:t>
      </w:r>
      <w:r>
        <w:rPr>
          <w:rFonts w:ascii="Times New Roman" w:eastAsia="Times New Roman" w:hAnsi="Times New Roman" w:cs="Times New Roman"/>
          <w:color w:val="000000"/>
          <w:spacing w:val="0"/>
          <w:w w:val="100"/>
          <w:position w:val="0"/>
          <w:shd w:val="clear" w:color="auto" w:fill="auto"/>
          <w:lang w:val="la-001" w:eastAsia="la-001" w:bidi="la-001"/>
        </w:rPr>
        <w:t xml:space="preserve">utimur </w:t>
      </w:r>
      <w:r>
        <w:rPr>
          <w:rFonts w:ascii="Times New Roman" w:eastAsia="Times New Roman" w:hAnsi="Times New Roman" w:cs="Times New Roman"/>
          <w:color w:val="000000"/>
          <w:spacing w:val="0"/>
          <w:w w:val="100"/>
          <w:position w:val="0"/>
          <w:shd w:val="clear" w:color="auto" w:fill="auto"/>
          <w:lang w:val="en-US" w:eastAsia="en-US" w:bidi="en-US"/>
        </w:rPr>
        <w:t xml:space="preserve">uſitato </w:t>
      </w:r>
      <w:r>
        <w:rPr>
          <w:rFonts w:ascii="Times New Roman" w:eastAsia="Times New Roman" w:hAnsi="Times New Roman" w:cs="Times New Roman"/>
          <w:color w:val="000000"/>
          <w:spacing w:val="0"/>
          <w:w w:val="100"/>
          <w:position w:val="0"/>
          <w:shd w:val="clear" w:color="auto" w:fill="auto"/>
          <w:lang w:val="la-001" w:eastAsia="la-001" w:bidi="la-001"/>
        </w:rPr>
        <w:t>: s</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smallCaps/>
          <w:color w:val="000000"/>
          <w:spacing w:val="0"/>
          <w:w w:val="100"/>
          <w:position w:val="0"/>
          <w:shd w:val="clear" w:color="auto" w:fill="auto"/>
          <w:lang w:val="la-001" w:eastAsia="la-001" w:bidi="la-001"/>
        </w:rPr>
        <w:t>ecquem tam amentem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eſſe </w:t>
      </w:r>
      <w:r>
        <w:rPr>
          <w:rFonts w:ascii="Times New Roman" w:eastAsia="Times New Roman" w:hAnsi="Times New Roman" w:cs="Times New Roman"/>
          <w:color w:val="000000"/>
          <w:spacing w:val="0"/>
          <w:w w:val="100"/>
          <w:position w:val="0"/>
          <w:shd w:val="clear" w:color="auto" w:fill="auto"/>
          <w:lang w:val="la-001" w:eastAsia="la-001" w:bidi="la-001"/>
        </w:rPr>
        <w:t xml:space="preserve">putas, qui illud, </w:t>
      </w:r>
      <w:r>
        <w:rPr>
          <w:rFonts w:ascii="Times New Roman" w:eastAsia="Times New Roman" w:hAnsi="Times New Roman" w:cs="Times New Roman"/>
          <w:color w:val="000000"/>
          <w:spacing w:val="0"/>
          <w:w w:val="100"/>
          <w:position w:val="0"/>
          <w:shd w:val="clear" w:color="auto" w:fill="auto"/>
          <w:lang w:val="en-US" w:eastAsia="en-US" w:bidi="en-US"/>
        </w:rPr>
        <w:t xml:space="preserve">quo veſcatur, </w:t>
      </w:r>
      <w:r>
        <w:rPr>
          <w:rFonts w:ascii="Times New Roman" w:eastAsia="Times New Roman" w:hAnsi="Times New Roman" w:cs="Times New Roman"/>
          <w:color w:val="000000"/>
          <w:spacing w:val="0"/>
          <w:w w:val="100"/>
          <w:position w:val="0"/>
          <w:shd w:val="clear" w:color="auto" w:fill="auto"/>
          <w:lang w:val="la-001" w:eastAsia="la-001" w:bidi="la-001"/>
        </w:rPr>
        <w:t xml:space="preserve">deum credat </w:t>
      </w:r>
      <w:r>
        <w:rPr>
          <w:rFonts w:ascii="Times New Roman" w:eastAsia="Times New Roman" w:hAnsi="Times New Roman" w:cs="Times New Roman"/>
          <w:color w:val="000000"/>
          <w:spacing w:val="0"/>
          <w:w w:val="100"/>
          <w:position w:val="0"/>
          <w:shd w:val="clear" w:color="auto" w:fill="auto"/>
          <w:lang w:val="en-US" w:eastAsia="en-US" w:bidi="en-US"/>
        </w:rPr>
        <w:t xml:space="preserve">eſſe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Natura Deorum,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Lib. 3. Cap. 16.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la-001" w:eastAsia="la-001" w:bidi="la-001"/>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Among other works on this ſubject, we may confidently recommend to the reader a ſmall tract publiſhed by Dr Abernethy Drummend, about twenty years ago, in the form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Dialogue between Philalethes and </w:t>
      </w:r>
      <w:r>
        <w:rPr>
          <w:rFonts w:ascii="Times New Roman" w:eastAsia="Times New Roman" w:hAnsi="Times New Roman" w:cs="Times New Roman"/>
          <w:i/>
          <w:iCs/>
          <w:color w:val="000000"/>
          <w:spacing w:val="0"/>
          <w:w w:val="100"/>
          <w:position w:val="0"/>
          <w:shd w:val="clear" w:color="auto" w:fill="auto"/>
          <w:lang w:val="la-001" w:eastAsia="la-001" w:bidi="la-001"/>
        </w:rPr>
        <w:t>Benevolus.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that treatiſe, together with a defence of it, which were both printed for Balfour and Drummond, Edinburgh, the abſurd conſequences which we have mentioned are, by arguments unanſwerable, proved to flow from the doctrine of tranſubſtantiation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artful ſophiſtry, by which a very acute genius endeavoured to keep theſe conſequences out of ſight, is detected and expoſed on acknowledged principles of the ſoundeſt metaphyſics.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canon of that council which eſtabliſhes tranlubſtantiation is thus tranſlated by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Sincere Christian Instructed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If any man ſhall say, that in the bleſſed ſacrament of the Euchariſt the ſubſtance of the bread and wine remains along with the body and blood of our Lord Jeſus Chriſt, and ſhall deny that wonderful and ſingular converſion of the whole ſubſtance of the bread into the body, and of the whole ſubſtance of the wine into the blood, the appearances of the bread and wine only remaining, which converſion the Catholic Church calls </w:t>
      </w:r>
      <w:r>
        <w:rPr>
          <w:rFonts w:ascii="Times New Roman" w:eastAsia="Times New Roman" w:hAnsi="Times New Roman" w:cs="Times New Roman"/>
          <w:i/>
          <w:iCs/>
          <w:color w:val="000000"/>
          <w:spacing w:val="0"/>
          <w:w w:val="100"/>
          <w:position w:val="0"/>
          <w:shd w:val="clear" w:color="auto" w:fill="auto"/>
          <w:lang w:val="en-US" w:eastAsia="en-US" w:bidi="en-US"/>
        </w:rPr>
        <w:t>transubstantiation,</w:t>
      </w:r>
      <w:r>
        <w:rPr>
          <w:rFonts w:ascii="Times New Roman" w:eastAsia="Times New Roman" w:hAnsi="Times New Roman" w:cs="Times New Roman"/>
          <w:color w:val="000000"/>
          <w:spacing w:val="0"/>
          <w:w w:val="100"/>
          <w:position w:val="0"/>
          <w:shd w:val="clear" w:color="auto" w:fill="auto"/>
          <w:lang w:val="en-US" w:eastAsia="en-US" w:bidi="en-US"/>
        </w:rPr>
        <w:t xml:space="preserve"> let him be anathema.”</w:t>
      </w:r>
    </w:p>
    <w:sectPr>
      <w:footnotePr>
        <w:pos w:val="pageBottom"/>
        <w:numFmt w:val="decimal"/>
        <w:numRestart w:val="continuous"/>
      </w:footnotePr>
      <w:type w:val="continuous"/>
      <w:pgSz w:w="12240" w:h="15840"/>
      <w:pgMar w:top="1103" w:left="646" w:right="646" w:bottom="1103" w:header="0" w:footer="3" w:gutter="169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