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48"/>
          <w:szCs w:val="48"/>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or t, the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9th letter and 16th conſonant of our alphabet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sound whereof is formed by a strong expulsion of the breath through the mouth, upon a hidden drawing back of the tongue from the fore-part of the palate, with the lips at the same time open. The proper sound of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is expressed in most words beginning or ending with that letter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w:t>
      </w:r>
      <w:r>
        <w:rPr>
          <w:rFonts w:ascii="Times New Roman" w:eastAsia="Times New Roman" w:hAnsi="Times New Roman" w:cs="Times New Roman"/>
          <w:i/>
          <w:iCs/>
          <w:color w:val="000000"/>
          <w:spacing w:val="0"/>
          <w:w w:val="100"/>
          <w:position w:val="0"/>
          <w:shd w:val="clear" w:color="auto" w:fill="auto"/>
          <w:lang w:val="en-US" w:eastAsia="en-US" w:bidi="en-US"/>
        </w:rPr>
        <w:t>take, tell, hot, put. Ti</w:t>
      </w:r>
      <w:r>
        <w:rPr>
          <w:rFonts w:ascii="Times New Roman" w:eastAsia="Times New Roman" w:hAnsi="Times New Roman" w:cs="Times New Roman"/>
          <w:color w:val="000000"/>
          <w:spacing w:val="0"/>
          <w:w w:val="100"/>
          <w:position w:val="0"/>
          <w:shd w:val="clear" w:color="auto" w:fill="auto"/>
          <w:lang w:val="en-US" w:eastAsia="en-US" w:bidi="en-US"/>
        </w:rPr>
        <w:t xml:space="preserve"> before a vowel has the sound of si, or rather of shi</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creation,</w:t>
      </w:r>
      <w:r>
        <w:rPr>
          <w:rFonts w:ascii="Times New Roman" w:eastAsia="Times New Roman" w:hAnsi="Times New Roman" w:cs="Times New Roman"/>
          <w:color w:val="000000"/>
          <w:spacing w:val="0"/>
          <w:w w:val="100"/>
          <w:position w:val="0"/>
          <w:shd w:val="clear" w:color="auto" w:fill="auto"/>
          <w:lang w:val="en-US" w:eastAsia="en-US" w:bidi="en-US"/>
        </w:rPr>
        <w:t xml:space="preserve"> except when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 </w:t>
      </w:r>
      <w:r>
        <w:rPr>
          <w:rFonts w:ascii="Times New Roman" w:eastAsia="Times New Roman" w:hAnsi="Times New Roman" w:cs="Times New Roman"/>
          <w:color w:val="000000"/>
          <w:spacing w:val="0"/>
          <w:w w:val="100"/>
          <w:position w:val="0"/>
          <w:shd w:val="clear" w:color="auto" w:fill="auto"/>
          <w:lang w:val="en-US" w:eastAsia="en-US" w:bidi="en-US"/>
        </w:rPr>
        <w:t xml:space="preserve">precedes, as in </w:t>
      </w:r>
      <w:r>
        <w:rPr>
          <w:rFonts w:ascii="Times New Roman" w:eastAsia="Times New Roman" w:hAnsi="Times New Roman" w:cs="Times New Roman"/>
          <w:i/>
          <w:iCs/>
          <w:color w:val="000000"/>
          <w:spacing w:val="0"/>
          <w:w w:val="100"/>
          <w:position w:val="0"/>
          <w:shd w:val="clear" w:color="auto" w:fill="auto"/>
          <w:lang w:val="en-US" w:eastAsia="en-US" w:bidi="en-US"/>
        </w:rPr>
        <w:t>question ;</w:t>
      </w:r>
      <w:r>
        <w:rPr>
          <w:rFonts w:ascii="Times New Roman" w:eastAsia="Times New Roman" w:hAnsi="Times New Roman" w:cs="Times New Roman"/>
          <w:color w:val="000000"/>
          <w:spacing w:val="0"/>
          <w:w w:val="100"/>
          <w:position w:val="0"/>
          <w:shd w:val="clear" w:color="auto" w:fill="auto"/>
          <w:lang w:val="en-US" w:eastAsia="en-US" w:bidi="en-US"/>
        </w:rPr>
        <w:t xml:space="preserve"> and in derivatives from words end</w:t>
        <w:softHyphen/>
        <w:t xml:space="preserve">ing in </w:t>
      </w:r>
      <w:r>
        <w:rPr>
          <w:rFonts w:ascii="Times New Roman" w:eastAsia="Times New Roman" w:hAnsi="Times New Roman" w:cs="Times New Roman"/>
          <w:i/>
          <w:iCs/>
          <w:color w:val="000000"/>
          <w:spacing w:val="0"/>
          <w:w w:val="100"/>
          <w:position w:val="0"/>
          <w:shd w:val="clear" w:color="auto" w:fill="auto"/>
          <w:lang w:val="en-US" w:eastAsia="en-US" w:bidi="en-US"/>
        </w:rPr>
        <w:t>ty,</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mighty, mightier. Th</w:t>
      </w:r>
      <w:r>
        <w:rPr>
          <w:rFonts w:ascii="Times New Roman" w:eastAsia="Times New Roman" w:hAnsi="Times New Roman" w:cs="Times New Roman"/>
          <w:color w:val="000000"/>
          <w:spacing w:val="0"/>
          <w:w w:val="100"/>
          <w:position w:val="0"/>
          <w:shd w:val="clear" w:color="auto" w:fill="auto"/>
          <w:lang w:val="en-US" w:eastAsia="en-US" w:bidi="en-US"/>
        </w:rPr>
        <w:t xml:space="preserve"> has two sounds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one ſoft,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thou, father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hard, as </w:t>
      </w:r>
      <w:r>
        <w:rPr>
          <w:rFonts w:ascii="Times New Roman" w:eastAsia="Times New Roman" w:hAnsi="Times New Roman" w:cs="Times New Roman"/>
          <w:i/>
          <w:iCs/>
          <w:color w:val="000000"/>
          <w:spacing w:val="0"/>
          <w:w w:val="100"/>
          <w:position w:val="0"/>
          <w:shd w:val="clear" w:color="auto" w:fill="auto"/>
          <w:lang w:val="en-US" w:eastAsia="en-US" w:bidi="en-US"/>
        </w:rPr>
        <w:t>thing, think.</w:t>
      </w:r>
      <w:r>
        <w:rPr>
          <w:rFonts w:ascii="Times New Roman" w:eastAsia="Times New Roman" w:hAnsi="Times New Roman" w:cs="Times New Roman"/>
          <w:color w:val="000000"/>
          <w:spacing w:val="0"/>
          <w:w w:val="100"/>
          <w:position w:val="0"/>
          <w:shd w:val="clear" w:color="auto" w:fill="auto"/>
          <w:lang w:val="en-US" w:eastAsia="en-US" w:bidi="en-US"/>
        </w:rPr>
        <w:t xml:space="preserve"> The sound is ſoft in theſe words, </w:t>
      </w:r>
      <w:r>
        <w:rPr>
          <w:rFonts w:ascii="Times New Roman" w:eastAsia="Times New Roman" w:hAnsi="Times New Roman" w:cs="Times New Roman"/>
          <w:i/>
          <w:iCs/>
          <w:color w:val="000000"/>
          <w:spacing w:val="0"/>
          <w:w w:val="100"/>
          <w:position w:val="0"/>
          <w:shd w:val="clear" w:color="auto" w:fill="auto"/>
          <w:lang w:val="en-US" w:eastAsia="en-US" w:bidi="en-US"/>
        </w:rPr>
        <w:t>then, thence,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there,</w:t>
      </w:r>
      <w:r>
        <w:rPr>
          <w:rFonts w:ascii="Times New Roman" w:eastAsia="Times New Roman" w:hAnsi="Times New Roman" w:cs="Times New Roman"/>
          <w:color w:val="000000"/>
          <w:spacing w:val="0"/>
          <w:w w:val="100"/>
          <w:position w:val="0"/>
          <w:shd w:val="clear" w:color="auto" w:fill="auto"/>
          <w:lang w:val="en-US" w:eastAsia="en-US" w:bidi="en-US"/>
        </w:rPr>
        <w:t xml:space="preserve"> with their derivatives and compounds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words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that, this, thus, thy, they, though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all words in which </w:t>
      </w:r>
      <w:r>
        <w:rPr>
          <w:rFonts w:ascii="Times New Roman" w:eastAsia="Times New Roman" w:hAnsi="Times New Roman" w:cs="Times New Roman"/>
          <w:i/>
          <w:iC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comes be</w:t>
        <w:softHyphen/>
        <w:t xml:space="preserve">tween two vowels,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whether, rather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between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a vowel, as </w:t>
      </w:r>
      <w:r>
        <w:rPr>
          <w:rFonts w:ascii="Times New Roman" w:eastAsia="Times New Roman" w:hAnsi="Times New Roman" w:cs="Times New Roman"/>
          <w:i/>
          <w:iCs/>
          <w:color w:val="000000"/>
          <w:spacing w:val="0"/>
          <w:w w:val="100"/>
          <w:position w:val="0"/>
          <w:shd w:val="clear" w:color="auto" w:fill="auto"/>
          <w:lang w:val="en-US" w:eastAsia="en-US" w:bidi="en-US"/>
        </w:rPr>
        <w:t>burthen.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abbreviations, amongst the Roman writers, T. stands for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Titus, </w:t>
      </w:r>
      <w:r>
        <w:rPr>
          <w:rFonts w:ascii="Times New Roman" w:eastAsia="Times New Roman" w:hAnsi="Times New Roman" w:cs="Times New Roman"/>
          <w:i/>
          <w:iCs/>
          <w:color w:val="000000"/>
          <w:spacing w:val="0"/>
          <w:w w:val="100"/>
          <w:position w:val="0"/>
          <w:shd w:val="clear" w:color="auto" w:fill="auto"/>
          <w:lang w:val="la-001" w:eastAsia="la-001" w:bidi="la-001"/>
        </w:rPr>
        <w:t>Titius,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Tab. for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Tabularius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Tab. </w:t>
      </w:r>
      <w:r>
        <w:rPr>
          <w:rFonts w:ascii="Times New Roman" w:eastAsia="Times New Roman" w:hAnsi="Times New Roman" w:cs="Times New Roman"/>
          <w:color w:val="000000"/>
          <w:spacing w:val="0"/>
          <w:w w:val="100"/>
          <w:position w:val="0"/>
          <w:shd w:val="clear" w:color="auto" w:fill="auto"/>
          <w:lang w:val="fr-FR" w:eastAsia="fr-FR" w:bidi="fr-FR"/>
        </w:rPr>
        <w:t xml:space="preserve">P. H. </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Tabularius Provinciae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Hiſpaniae </w:t>
      </w:r>
      <w:r>
        <w:rPr>
          <w:rFonts w:ascii="Times New Roman" w:eastAsia="Times New Roman" w:hAnsi="Times New Roman" w:cs="Times New Roman"/>
          <w:i/>
          <w:iCs/>
          <w:color w:val="000000"/>
          <w:spacing w:val="0"/>
          <w:w w:val="100"/>
          <w:position w:val="0"/>
          <w:shd w:val="clear" w:color="auto" w:fill="auto"/>
          <w:lang w:val="la-001" w:eastAsia="la-001" w:bidi="la-001"/>
        </w:rPr>
        <w:t>Citerioris;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Tarquinius·, </w:t>
      </w:r>
      <w:r>
        <w:rPr>
          <w:rFonts w:ascii="Times New Roman" w:eastAsia="Times New Roman" w:hAnsi="Times New Roman" w:cs="Times New Roman"/>
          <w:color w:val="000000"/>
          <w:spacing w:val="0"/>
          <w:w w:val="100"/>
          <w:position w:val="0"/>
          <w:shd w:val="clear" w:color="auto" w:fill="auto"/>
          <w:lang w:val="en-US" w:eastAsia="en-US" w:bidi="en-US"/>
        </w:rPr>
        <w:t xml:space="preserve">Ti.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Tiberius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Ti.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hd w:val="clear" w:color="auto" w:fill="auto"/>
          <w:lang w:val="la-001" w:eastAsia="la-001" w:bidi="la-001"/>
        </w:rPr>
        <w:t>Tiberii filius ;</w:t>
      </w:r>
      <w:r>
        <w:rPr>
          <w:rFonts w:ascii="Times New Roman" w:eastAsia="Times New Roman" w:hAnsi="Times New Roman" w:cs="Times New Roman"/>
          <w:color w:val="000000"/>
          <w:spacing w:val="0"/>
          <w:w w:val="100"/>
          <w:position w:val="0"/>
          <w:shd w:val="clear" w:color="auto" w:fill="auto"/>
          <w:lang w:val="la-001" w:eastAsia="la-001" w:bidi="la-001"/>
        </w:rPr>
        <w:t xml:space="preserve"> Ti. L.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Tiberii libertus ; </w:t>
      </w:r>
      <w:r>
        <w:rPr>
          <w:rFonts w:ascii="Times New Roman" w:eastAsia="Times New Roman" w:hAnsi="Times New Roman" w:cs="Times New Roman"/>
          <w:color w:val="000000"/>
          <w:spacing w:val="0"/>
          <w:w w:val="100"/>
          <w:position w:val="0"/>
          <w:shd w:val="clear" w:color="auto" w:fill="auto"/>
          <w:lang w:val="de-DE" w:eastAsia="de-DE" w:bidi="de-DE"/>
        </w:rPr>
        <w:t xml:space="preserve">Ti. </w:t>
      </w:r>
      <w:r>
        <w:rPr>
          <w:rFonts w:ascii="Times New Roman" w:eastAsia="Times New Roman" w:hAnsi="Times New Roman" w:cs="Times New Roman"/>
          <w:color w:val="000000"/>
          <w:spacing w:val="0"/>
          <w:w w:val="100"/>
          <w:position w:val="0"/>
          <w:shd w:val="clear" w:color="auto" w:fill="auto"/>
          <w:lang w:val="la-001" w:eastAsia="la-001" w:bidi="la-001"/>
        </w:rPr>
        <w:t xml:space="preserve">N. </w:t>
      </w:r>
      <w:r>
        <w:rPr>
          <w:rFonts w:ascii="Times New Roman" w:eastAsia="Times New Roman" w:hAnsi="Times New Roman" w:cs="Times New Roman"/>
          <w:i/>
          <w:iCs/>
          <w:color w:val="000000"/>
          <w:spacing w:val="0"/>
          <w:w w:val="100"/>
          <w:position w:val="0"/>
          <w:shd w:val="clear" w:color="auto" w:fill="auto"/>
          <w:lang w:val="la-001" w:eastAsia="la-001" w:bidi="la-001"/>
        </w:rPr>
        <w:t>Tiberii Nepos</w:t>
      </w:r>
      <w:r>
        <w:rPr>
          <w:rFonts w:ascii="Times New Roman" w:eastAsia="Times New Roman" w:hAnsi="Times New Roman" w:cs="Times New Roman"/>
          <w:color w:val="000000"/>
          <w:spacing w:val="0"/>
          <w:w w:val="100"/>
          <w:position w:val="0"/>
          <w:shd w:val="clear" w:color="auto" w:fill="auto"/>
          <w:lang w:val="la-001" w:eastAsia="la-001" w:bidi="la-001"/>
        </w:rPr>
        <w:t xml:space="preserve"> ; T. </w:t>
      </w:r>
      <w:r>
        <w:rPr>
          <w:rFonts w:ascii="Times New Roman" w:eastAsia="Times New Roman" w:hAnsi="Times New Roman" w:cs="Times New Roman"/>
          <w:color w:val="000000"/>
          <w:spacing w:val="0"/>
          <w:w w:val="100"/>
          <w:position w:val="0"/>
          <w:shd w:val="clear" w:color="auto" w:fill="auto"/>
          <w:lang w:val="fr-FR" w:eastAsia="fr-FR" w:bidi="fr-FR"/>
        </w:rPr>
        <w:t xml:space="preserve">J. A. </w:t>
      </w:r>
      <w:r>
        <w:rPr>
          <w:rFonts w:ascii="Times New Roman" w:eastAsia="Times New Roman" w:hAnsi="Times New Roman" w:cs="Times New Roman"/>
          <w:color w:val="000000"/>
          <w:spacing w:val="0"/>
          <w:w w:val="100"/>
          <w:position w:val="0"/>
          <w:shd w:val="clear" w:color="auto" w:fill="auto"/>
          <w:lang w:val="la-001" w:eastAsia="la-001" w:bidi="la-001"/>
        </w:rPr>
        <w:t xml:space="preserve">V.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la-001" w:eastAsia="la-001" w:bidi="la-001"/>
        </w:rPr>
        <w:t xml:space="preserve">V. D. </w:t>
      </w:r>
      <w:r>
        <w:rPr>
          <w:rFonts w:ascii="Times New Roman" w:eastAsia="Times New Roman" w:hAnsi="Times New Roman" w:cs="Times New Roman"/>
          <w:i/>
          <w:iCs/>
          <w:color w:val="000000"/>
          <w:spacing w:val="0"/>
          <w:w w:val="100"/>
          <w:position w:val="0"/>
          <w:shd w:val="clear" w:color="auto" w:fill="auto"/>
          <w:lang w:val="la-001" w:eastAsia="la-001" w:bidi="la-001"/>
        </w:rPr>
        <w:t>tempore judi</w:t>
        <w:softHyphen/>
        <w:t>cem arbitrumve postulat ut det ;</w:t>
      </w:r>
      <w:r>
        <w:rPr>
          <w:rFonts w:ascii="Times New Roman" w:eastAsia="Times New Roman" w:hAnsi="Times New Roman" w:cs="Times New Roman"/>
          <w:color w:val="000000"/>
          <w:spacing w:val="0"/>
          <w:w w:val="100"/>
          <w:position w:val="0"/>
          <w:shd w:val="clear" w:color="auto" w:fill="auto"/>
          <w:lang w:val="la-001" w:eastAsia="la-001" w:bidi="la-001"/>
        </w:rPr>
        <w:t xml:space="preserve"> T. Μ. P.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terminum posuit ; </w:t>
      </w:r>
      <w:r>
        <w:rPr>
          <w:rFonts w:ascii="Times New Roman" w:eastAsia="Times New Roman" w:hAnsi="Times New Roman" w:cs="Times New Roman"/>
          <w:color w:val="000000"/>
          <w:spacing w:val="0"/>
          <w:w w:val="100"/>
          <w:position w:val="0"/>
          <w:shd w:val="clear" w:color="auto" w:fill="auto"/>
          <w:lang w:val="la-001" w:eastAsia="la-001" w:bidi="la-001"/>
        </w:rPr>
        <w:t xml:space="preserve">T. Μ. D. D. </w:t>
      </w:r>
      <w:r>
        <w:rPr>
          <w:rFonts w:ascii="Times New Roman" w:eastAsia="Times New Roman" w:hAnsi="Times New Roman" w:cs="Times New Roman"/>
          <w:i/>
          <w:iCs/>
          <w:color w:val="000000"/>
          <w:spacing w:val="0"/>
          <w:w w:val="100"/>
          <w:position w:val="0"/>
          <w:shd w:val="clear" w:color="auto" w:fill="auto"/>
          <w:lang w:val="la-001" w:eastAsia="la-001" w:bidi="la-001"/>
        </w:rPr>
        <w:t>terminum dedicavit;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Tr. </w:t>
      </w:r>
      <w:r>
        <w:rPr>
          <w:rFonts w:ascii="Times New Roman" w:eastAsia="Times New Roman" w:hAnsi="Times New Roman" w:cs="Times New Roman"/>
          <w:i/>
          <w:iCs/>
          <w:color w:val="000000"/>
          <w:spacing w:val="0"/>
          <w:w w:val="100"/>
          <w:position w:val="0"/>
          <w:shd w:val="clear" w:color="auto" w:fill="auto"/>
          <w:lang w:val="la-001" w:eastAsia="la-001" w:bidi="la-001"/>
        </w:rPr>
        <w:t>trans, tribunus ;</w:t>
      </w:r>
      <w:r>
        <w:rPr>
          <w:rFonts w:ascii="Times New Roman" w:eastAsia="Times New Roman" w:hAnsi="Times New Roman" w:cs="Times New Roman"/>
          <w:color w:val="000000"/>
          <w:spacing w:val="0"/>
          <w:w w:val="100"/>
          <w:position w:val="0"/>
          <w:shd w:val="clear" w:color="auto" w:fill="auto"/>
          <w:lang w:val="la-001" w:eastAsia="la-001" w:bidi="la-001"/>
        </w:rPr>
        <w:t xml:space="preserve"> Tr. Μ.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 xml:space="preserve">Mil. </w:t>
      </w:r>
      <w:r>
        <w:rPr>
          <w:rFonts w:ascii="Times New Roman" w:eastAsia="Times New Roman" w:hAnsi="Times New Roman" w:cs="Times New Roman"/>
          <w:i/>
          <w:iCs/>
          <w:color w:val="000000"/>
          <w:spacing w:val="0"/>
          <w:w w:val="100"/>
          <w:position w:val="0"/>
          <w:shd w:val="clear" w:color="auto" w:fill="auto"/>
          <w:lang w:val="la-001" w:eastAsia="la-001" w:bidi="la-001"/>
        </w:rPr>
        <w:t>tribunus militum ;</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TR. </w:t>
      </w:r>
      <w:r>
        <w:rPr>
          <w:rFonts w:ascii="Times New Roman" w:eastAsia="Times New Roman" w:hAnsi="Times New Roman" w:cs="Times New Roman"/>
          <w:color w:val="000000"/>
          <w:spacing w:val="0"/>
          <w:w w:val="100"/>
          <w:position w:val="0"/>
          <w:shd w:val="clear" w:color="auto" w:fill="auto"/>
          <w:lang w:val="fr-FR" w:eastAsia="fr-FR" w:bidi="fr-FR"/>
        </w:rPr>
        <w:t xml:space="preserve">PL·. </w:t>
      </w:r>
      <w:r>
        <w:rPr>
          <w:rFonts w:ascii="Times New Roman" w:eastAsia="Times New Roman" w:hAnsi="Times New Roman" w:cs="Times New Roman"/>
          <w:color w:val="000000"/>
          <w:spacing w:val="0"/>
          <w:w w:val="100"/>
          <w:position w:val="0"/>
          <w:shd w:val="clear" w:color="auto" w:fill="auto"/>
          <w:lang w:val="la-001" w:eastAsia="la-001" w:bidi="la-001"/>
        </w:rPr>
        <w:t xml:space="preserve">DES. </w:t>
      </w:r>
      <w:r>
        <w:rPr>
          <w:rFonts w:ascii="Times New Roman" w:eastAsia="Times New Roman" w:hAnsi="Times New Roman" w:cs="Times New Roman"/>
          <w:i/>
          <w:iCs/>
          <w:color w:val="000000"/>
          <w:spacing w:val="0"/>
          <w:w w:val="100"/>
          <w:position w:val="0"/>
          <w:shd w:val="clear" w:color="auto" w:fill="auto"/>
          <w:lang w:val="la-001" w:eastAsia="la-001" w:bidi="la-001"/>
        </w:rPr>
        <w:t>tribunus plebis designatus</w:t>
      </w:r>
      <w:r>
        <w:rPr>
          <w:rFonts w:ascii="Times New Roman" w:eastAsia="Times New Roman" w:hAnsi="Times New Roman" w:cs="Times New Roman"/>
          <w:color w:val="000000"/>
          <w:spacing w:val="0"/>
          <w:w w:val="100"/>
          <w:position w:val="0"/>
          <w:shd w:val="clear" w:color="auto" w:fill="auto"/>
          <w:lang w:val="la-001" w:eastAsia="la-001" w:bidi="la-001"/>
        </w:rPr>
        <w:t xml:space="preserve"> ; TR. AER. </w:t>
      </w:r>
      <w:r>
        <w:rPr>
          <w:rFonts w:ascii="Times New Roman" w:eastAsia="Times New Roman" w:hAnsi="Times New Roman" w:cs="Times New Roman"/>
          <w:i/>
          <w:iCs/>
          <w:color w:val="000000"/>
          <w:spacing w:val="0"/>
          <w:w w:val="100"/>
          <w:position w:val="0"/>
          <w:shd w:val="clear" w:color="auto" w:fill="auto"/>
          <w:lang w:val="la-001" w:eastAsia="la-001" w:bidi="la-001"/>
        </w:rPr>
        <w:t>tribunus serarii ;</w:t>
      </w:r>
      <w:r>
        <w:rPr>
          <w:rFonts w:ascii="Times New Roman" w:eastAsia="Times New Roman" w:hAnsi="Times New Roman" w:cs="Times New Roman"/>
          <w:color w:val="000000"/>
          <w:spacing w:val="0"/>
          <w:w w:val="100"/>
          <w:position w:val="0"/>
          <w:shd w:val="clear" w:color="auto" w:fill="auto"/>
          <w:lang w:val="la-001" w:eastAsia="la-001" w:bidi="la-001"/>
        </w:rPr>
        <w:t xml:space="preserve"> TRV. </w:t>
      </w:r>
      <w:r>
        <w:rPr>
          <w:rFonts w:ascii="Times New Roman" w:eastAsia="Times New Roman" w:hAnsi="Times New Roman" w:cs="Times New Roman"/>
          <w:color w:val="000000"/>
          <w:spacing w:val="0"/>
          <w:w w:val="100"/>
          <w:position w:val="0"/>
          <w:shd w:val="clear" w:color="auto" w:fill="auto"/>
          <w:lang w:val="en-US" w:eastAsia="en-US" w:bidi="en-US"/>
        </w:rPr>
        <w:t xml:space="preserve">CAP. </w:t>
      </w:r>
      <w:r>
        <w:rPr>
          <w:rFonts w:ascii="Times New Roman" w:eastAsia="Times New Roman" w:hAnsi="Times New Roman" w:cs="Times New Roman"/>
          <w:i/>
          <w:iCs/>
          <w:color w:val="000000"/>
          <w:spacing w:val="0"/>
          <w:w w:val="100"/>
          <w:position w:val="0"/>
          <w:shd w:val="clear" w:color="auto" w:fill="auto"/>
          <w:lang w:val="la-001" w:eastAsia="la-001" w:bidi="la-001"/>
        </w:rPr>
        <w:t>trium</w:t>
        <w:softHyphen/>
        <w:t>viri capitales</w:t>
      </w:r>
      <w:r>
        <w:rPr>
          <w:rFonts w:ascii="Times New Roman" w:eastAsia="Times New Roman" w:hAnsi="Times New Roman" w:cs="Times New Roman"/>
          <w:color w:val="000000"/>
          <w:spacing w:val="0"/>
          <w:w w:val="100"/>
          <w:position w:val="0"/>
          <w:shd w:val="clear" w:color="auto" w:fill="auto"/>
          <w:lang w:val="la-001" w:eastAsia="la-001" w:bidi="la-001"/>
        </w:rPr>
        <w:t xml:space="preserve"> ;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la-001" w:eastAsia="la-001" w:bidi="la-001"/>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or TRIB. </w:t>
      </w:r>
      <w:r>
        <w:rPr>
          <w:rFonts w:ascii="Times New Roman" w:eastAsia="Times New Roman" w:hAnsi="Times New Roman" w:cs="Times New Roman"/>
          <w:color w:val="000000"/>
          <w:spacing w:val="0"/>
          <w:w w:val="100"/>
          <w:position w:val="0"/>
          <w:shd w:val="clear" w:color="auto" w:fill="auto"/>
          <w:lang w:val="la-001" w:eastAsia="la-001" w:bidi="la-001"/>
        </w:rPr>
        <w:t xml:space="preserve">POT.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tribunicia potestate ; </w:t>
      </w:r>
      <w:r>
        <w:rPr>
          <w:rFonts w:ascii="Times New Roman" w:eastAsia="Times New Roman" w:hAnsi="Times New Roman" w:cs="Times New Roman"/>
          <w:color w:val="000000"/>
          <w:spacing w:val="0"/>
          <w:w w:val="100"/>
          <w:position w:val="0"/>
          <w:shd w:val="clear" w:color="auto" w:fill="auto"/>
          <w:lang w:val="la-001" w:eastAsia="la-001" w:bidi="la-001"/>
        </w:rPr>
        <w:t xml:space="preserve">Tul, H. </w:t>
      </w:r>
      <w:r>
        <w:rPr>
          <w:rFonts w:ascii="Times New Roman" w:eastAsia="Times New Roman" w:hAnsi="Times New Roman" w:cs="Times New Roman"/>
          <w:i/>
          <w:iCs/>
          <w:color w:val="000000"/>
          <w:spacing w:val="0"/>
          <w:w w:val="100"/>
          <w:position w:val="0"/>
          <w:shd w:val="clear" w:color="auto" w:fill="auto"/>
          <w:lang w:val="la-001" w:eastAsia="la-001" w:bidi="la-001"/>
        </w:rPr>
        <w:t>Tullus Hostilius.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Amongst </w:t>
      </w:r>
      <w:r>
        <w:rPr>
          <w:rFonts w:ascii="Times New Roman" w:eastAsia="Times New Roman" w:hAnsi="Times New Roman" w:cs="Times New Roman"/>
          <w:color w:val="000000"/>
          <w:spacing w:val="0"/>
          <w:w w:val="100"/>
          <w:position w:val="0"/>
          <w:shd w:val="clear" w:color="auto" w:fill="auto"/>
          <w:lang w:val="en-US" w:eastAsia="en-US" w:bidi="en-US"/>
        </w:rPr>
        <w:t xml:space="preserve">the ancients, </w:t>
      </w:r>
      <w:r>
        <w:rPr>
          <w:rFonts w:ascii="Times New Roman" w:eastAsia="Times New Roman" w:hAnsi="Times New Roman" w:cs="Times New Roman"/>
          <w:color w:val="000000"/>
          <w:spacing w:val="0"/>
          <w:w w:val="100"/>
          <w:position w:val="0"/>
          <w:shd w:val="clear" w:color="auto" w:fill="auto"/>
          <w:lang w:val="fr-FR" w:eastAsia="fr-FR" w:bidi="fr-FR"/>
        </w:rPr>
        <w:t xml:space="preserve">T. as a </w:t>
      </w:r>
      <w:r>
        <w:rPr>
          <w:rFonts w:ascii="Times New Roman" w:eastAsia="Times New Roman" w:hAnsi="Times New Roman" w:cs="Times New Roman"/>
          <w:color w:val="000000"/>
          <w:spacing w:val="0"/>
          <w:w w:val="100"/>
          <w:position w:val="0"/>
          <w:shd w:val="clear" w:color="auto" w:fill="auto"/>
          <w:lang w:val="en-US" w:eastAsia="en-US" w:bidi="en-US"/>
        </w:rPr>
        <w:t xml:space="preserve">numeral, stood for </w:t>
      </w:r>
      <w:r>
        <w:rPr>
          <w:rFonts w:ascii="Times New Roman" w:eastAsia="Times New Roman" w:hAnsi="Times New Roman" w:cs="Times New Roman"/>
          <w:i/>
          <w:iCs/>
          <w:color w:val="000000"/>
          <w:spacing w:val="0"/>
          <w:w w:val="100"/>
          <w:position w:val="0"/>
          <w:shd w:val="clear" w:color="auto" w:fill="auto"/>
          <w:lang w:val="en-US" w:eastAsia="en-US" w:bidi="en-US"/>
        </w:rPr>
        <w:t>one hundred and sixty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with a dash at top, thus, T, it signified </w:t>
      </w:r>
      <w:r>
        <w:rPr>
          <w:rFonts w:ascii="Times New Roman" w:eastAsia="Times New Roman" w:hAnsi="Times New Roman" w:cs="Times New Roman"/>
          <w:i/>
          <w:iCs/>
          <w:color w:val="000000"/>
          <w:spacing w:val="0"/>
          <w:w w:val="100"/>
          <w:position w:val="0"/>
          <w:shd w:val="clear" w:color="auto" w:fill="auto"/>
          <w:lang w:val="en-US" w:eastAsia="en-US" w:bidi="en-US"/>
        </w:rPr>
        <w:t>one hundred and sixty thousand.</w:t>
      </w:r>
      <w:r>
        <w:rPr>
          <w:rFonts w:ascii="Times New Roman" w:eastAsia="Times New Roman" w:hAnsi="Times New Roman" w:cs="Times New Roman"/>
          <w:color w:val="000000"/>
          <w:spacing w:val="0"/>
          <w:w w:val="100"/>
          <w:position w:val="0"/>
          <w:shd w:val="clear" w:color="auto" w:fill="auto"/>
          <w:lang w:val="en-US" w:eastAsia="en-US" w:bidi="en-US"/>
        </w:rPr>
        <w:t xml:space="preserve"> In music, T stands for </w:t>
      </w:r>
      <w:r>
        <w:rPr>
          <w:rFonts w:ascii="Times New Roman" w:eastAsia="Times New Roman" w:hAnsi="Times New Roman" w:cs="Times New Roman"/>
          <w:i/>
          <w:iCs/>
          <w:color w:val="000000"/>
          <w:spacing w:val="0"/>
          <w:w w:val="100"/>
          <w:position w:val="0"/>
          <w:shd w:val="clear" w:color="auto" w:fill="auto"/>
          <w:lang w:val="fr-FR" w:eastAsia="fr-FR" w:bidi="fr-FR"/>
        </w:rPr>
        <w:t>tutti,</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all, or altogether.”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TABANUS,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breeze-fly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insects be</w:t>
        <w:softHyphen/>
        <w:t xml:space="preserv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diptera.</w:t>
      </w:r>
      <w:r>
        <w:rPr>
          <w:rFonts w:ascii="Times New Roman" w:eastAsia="Times New Roman" w:hAnsi="Times New Roman" w:cs="Times New Roman"/>
          <w:color w:val="000000"/>
          <w:spacing w:val="0"/>
          <w:w w:val="100"/>
          <w:position w:val="0"/>
          <w:shd w:val="clear" w:color="auto" w:fill="auto"/>
          <w:lang w:val="en-US" w:eastAsia="en-US" w:bidi="en-US"/>
        </w:rPr>
        <w:t xml:space="preserve"> The mouth is extended in a fleshy proboſcis, terminated by two lips. The rostrum is furniſhed with two pointed palpi placed on each side of the proboſcis, and parallel to it. Gmelin has enumerated 38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three only are found in Great Britain, the bovinus, </w:t>
      </w:r>
      <w:r>
        <w:rPr>
          <w:rFonts w:ascii="Times New Roman" w:eastAsia="Times New Roman" w:hAnsi="Times New Roman" w:cs="Times New Roman"/>
          <w:color w:val="000000"/>
          <w:spacing w:val="0"/>
          <w:w w:val="100"/>
          <w:position w:val="0"/>
          <w:shd w:val="clear" w:color="auto" w:fill="auto"/>
          <w:lang w:val="la-001" w:eastAsia="la-001" w:bidi="la-001"/>
        </w:rPr>
        <w:t xml:space="preserve">pluviatilis,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cœcutiens.</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1.</w:t>
        <w:tab/>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bovinus,</w:t>
      </w:r>
      <w:r>
        <w:rPr>
          <w:rFonts w:ascii="Times New Roman" w:eastAsia="Times New Roman" w:hAnsi="Times New Roman" w:cs="Times New Roman"/>
          <w:color w:val="000000"/>
          <w:spacing w:val="0"/>
          <w:w w:val="100"/>
          <w:position w:val="0"/>
          <w:shd w:val="clear" w:color="auto" w:fill="auto"/>
          <w:lang w:val="en-US" w:eastAsia="en-US" w:bidi="en-US"/>
        </w:rPr>
        <w:t xml:space="preserve"> or great horſe fly, has a grey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eyes almost of a black brown, occupying the greatest part of it. The thorax is of a grey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abdomen is yellowish, with a triangular white ſpot on the middle of every ring, which constitutes a longitudinal band of foots, the point of which is directed towards the thorax. The thighs are blackish, and the legs yellow. The wings are somewhat dusky, with brown veins of a deeper dye. This inſect is the terror of horned cattle, horſes, &amp;c. Its mouth is armed with two sharp hooks which penetrate their hide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with its proboſcis, which is shaped like a sting, it sucks their blood, of which it is very greedy. The punc</w:t>
        <w:softHyphen/>
        <w:t>ture of the tabanus is keen and painful. The insect is very common in damp woods and meadows, especially during the great heats, when it is most troubleſome. The horned cat</w:t>
        <w:softHyphen/>
      </w:r>
      <w:r>
        <w:rPr>
          <w:rFonts w:ascii="Times New Roman" w:eastAsia="Times New Roman" w:hAnsi="Times New Roman" w:cs="Times New Roman"/>
          <w:color w:val="000000"/>
          <w:spacing w:val="0"/>
          <w:w w:val="100"/>
          <w:position w:val="0"/>
          <w:shd w:val="clear" w:color="auto" w:fill="auto"/>
          <w:lang w:val="en-US" w:eastAsia="en-US" w:bidi="en-US"/>
        </w:rPr>
        <w:t>tle are fometimes ſo molested by their stings, that they go mad, run down precipices, tear themſelves on the flumps of trees, stones, &amp;c.</w:t>
      </w:r>
    </w:p>
    <w:p>
      <w:pPr>
        <w:pStyle w:val="Style2"/>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pluviatilis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of an ashen grey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eyes are green, with brown streaks. The thorax is brown, marked with about ſeven longitudinal grey lines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wings, which are brown and ash-coloured, are dotted over with ſmall white ſpots, and have a black ſpot on the margin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legs are ſurrounded with brown and white rings alternately. This ſpecies is very common in meadows, and is about four lines in length.</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caecutiens</w:t>
      </w:r>
      <w:r>
        <w:rPr>
          <w:rFonts w:ascii="Times New Roman" w:eastAsia="Times New Roman" w:hAnsi="Times New Roman" w:cs="Times New Roman"/>
          <w:color w:val="000000"/>
          <w:spacing w:val="0"/>
          <w:w w:val="100"/>
          <w:position w:val="0"/>
          <w:shd w:val="clear" w:color="auto" w:fill="auto"/>
          <w:lang w:val="en-US" w:eastAsia="en-US" w:bidi="en-US"/>
        </w:rPr>
        <w:t xml:space="preserve"> has a brown head; eyes green and brown, with black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thorax brown with black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abdomen above, yellow with triangular brown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yel</w:t>
        <w:softHyphen/>
        <w:t>low legs, and white wings with black and brown ſpots. The length is four lines and a half.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w:t>
      </w:r>
      <w:r>
        <w:rPr>
          <w:rFonts w:ascii="Times New Roman" w:eastAsia="Times New Roman" w:hAnsi="Times New Roman" w:cs="Times New Roman"/>
          <w:color w:val="000000"/>
          <w:spacing w:val="0"/>
          <w:w w:val="100"/>
          <w:position w:val="0"/>
          <w:shd w:val="clear" w:color="auto" w:fill="auto"/>
          <w:lang w:val="el-GR" w:eastAsia="el-GR" w:bidi="el-GR"/>
        </w:rPr>
        <w:t>ΒΑ</w:t>
      </w:r>
      <w:r>
        <w:rPr>
          <w:rFonts w:ascii="Times New Roman" w:eastAsia="Times New Roman" w:hAnsi="Times New Roman" w:cs="Times New Roman"/>
          <w:color w:val="000000"/>
          <w:spacing w:val="0"/>
          <w:w w:val="100"/>
          <w:position w:val="0"/>
          <w:shd w:val="clear" w:color="auto" w:fill="auto"/>
          <w:lang w:val="en-US" w:eastAsia="en-US" w:bidi="en-US"/>
        </w:rPr>
        <w:t>RCA, a little island lying oppoſite to a ſmall town of that name, which divides the maritime coatis of Tunis and Algiers, in Africa, two miles from the land, in possession of the noble family of the Lamellini of Genoa, who have here a governor and a garriſon of 200 men to pro</w:t>
      </w:r>
      <w:r>
        <w:rPr>
          <w:rFonts w:ascii="Times New Roman" w:eastAsia="Times New Roman" w:hAnsi="Times New Roman" w:cs="Times New Roman"/>
          <w:color w:val="000000"/>
          <w:spacing w:val="0"/>
          <w:w w:val="100"/>
          <w:position w:val="0"/>
          <w:shd w:val="clear" w:color="auto" w:fill="auto"/>
          <w:lang w:val="fr-FR" w:eastAsia="fr-FR" w:bidi="fr-FR"/>
        </w:rPr>
        <w:t xml:space="preserve">tect </w:t>
      </w:r>
      <w:r>
        <w:rPr>
          <w:rFonts w:ascii="Times New Roman" w:eastAsia="Times New Roman" w:hAnsi="Times New Roman" w:cs="Times New Roman"/>
          <w:color w:val="000000"/>
          <w:spacing w:val="0"/>
          <w:w w:val="100"/>
          <w:position w:val="0"/>
          <w:shd w:val="clear" w:color="auto" w:fill="auto"/>
          <w:lang w:val="en-US" w:eastAsia="en-US" w:bidi="en-US"/>
        </w:rPr>
        <w:t>the coral fishery. N. Lat. 36. 50 E. Long. 9. 16.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TABASHEER, a Persian word, signifying a hard ſubstance found in the cavities of the bamboo or Indian reed, and highly valued as a medicine in the East Indies. Though ſome account was given of the tabasheer by the Arabian physicians, no accurate knowledge of it was obtained till Dr Russel favoured the public with his obſervations on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this gentleman’s information, the tabasheer is produced from the female bamboo, which is distinguished from the male by the the largeneſs of its cavity. It is eaſy to diſcover, without opening them, what bamboos contain it, as they make a rattling noiſe when shaken. Dr Russel having examined a bamboo brought from Vellore, consisting of six joints, found no appearance of tabasheer in two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the red contained ſome, but of various qua</w:t>
        <w:softHyphen/>
        <w:t xml:space="preserve">lity and quantity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amounting to about 27 grains. The bed was of a bluish white reſembling ſmall fragments of shells, harder alſo than the rest, but which might be easily crumbled between the fingers into a gritty powder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applied to the tongue and palate, had a flight ſaline and testaceous taste; the weight not exceeding four grains. The colour of the red was cineritious, rough on the ſurface, and more friable; having ſome particles of a larger size inter</w:t>
        <w:softHyphen/>
        <w:t xml:space="preserve">mixed, but light, ſpongy, and ſomewhat reſembling pumice stones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appearance, our author ſuppoſes, led the Arabians to think that fire was concerned in the production. The two middle joints were of a pure white colour within, and lined with a thin film. In theſe the tabasheer was prin</w:t>
        <w:softHyphen/>
        <w:t>cipally found. The other joints, particularly the two up</w:t>
        <w:softHyphen/>
        <w:t xml:space="preserve">per ones, were diſcoloured within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ſome parts of the cavity was found a blackish ſubstance in grains or in pow</w:t>
        <w:softHyphen/>
        <w:t>der, adhering to the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the film being there obliterated.</w:t>
      </w:r>
    </w:p>
    <w:sectPr>
      <w:footnotePr>
        <w:pos w:val="pageBottom"/>
        <w:numFmt w:val="decimal"/>
        <w:numRestart w:val="continuous"/>
      </w:footnotePr>
      <w:pgSz w:w="12240" w:h="15840"/>
      <w:pgMar w:top="1188" w:left="822" w:right="822" w:bottom="1151" w:header="0" w:footer="3" w:gutter="13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