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5E4F4A"/>
          <w:spacing w:val="0"/>
          <w:w w:val="100"/>
          <w:position w:val="0"/>
          <w:shd w:val="clear" w:color="auto" w:fill="auto"/>
          <w:lang w:val="en-US" w:eastAsia="en-US" w:bidi="en-US"/>
        </w:rPr>
        <w:t xml:space="preserve">ſonableneſs of </w:t>
      </w:r>
      <w:r>
        <w:rPr>
          <w:rFonts w:ascii="Times New Roman" w:eastAsia="Times New Roman" w:hAnsi="Times New Roman" w:cs="Times New Roman"/>
          <w:i/>
          <w:iCs/>
          <w:color w:val="5E4F4A"/>
          <w:spacing w:val="0"/>
          <w:w w:val="100"/>
          <w:position w:val="0"/>
          <w:shd w:val="clear" w:color="auto" w:fill="auto"/>
          <w:lang w:val="fr-FR" w:eastAsia="fr-FR" w:bidi="fr-FR"/>
        </w:rPr>
        <w:t>Christianity,</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have long been held in the higheſt eſteem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whilst the followers of Calvin have preferred the Institutiones of their master, Turretine’s </w:t>
      </w:r>
      <w:r>
        <w:rPr>
          <w:rFonts w:ascii="Times New Roman" w:eastAsia="Times New Roman" w:hAnsi="Times New Roman" w:cs="Times New Roman"/>
          <w:i/>
          <w:iCs/>
          <w:color w:val="5E4F4A"/>
          <w:spacing w:val="0"/>
          <w:w w:val="100"/>
          <w:position w:val="0"/>
          <w:shd w:val="clear" w:color="auto" w:fill="auto"/>
          <w:lang w:val="en-US" w:eastAsia="en-US" w:bidi="en-US"/>
        </w:rPr>
        <w:t>Institutio Theologiae Elencticae</w:t>
      </w:r>
      <w:r>
        <w:rPr>
          <w:rFonts w:ascii="Times New Roman" w:eastAsia="Times New Roman" w:hAnsi="Times New Roman" w:cs="Times New Roman"/>
          <w:i/>
          <w:iCs/>
          <w:color w:val="5E4F4A"/>
          <w:spacing w:val="0"/>
          <w:w w:val="100"/>
          <w:position w:val="0"/>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Gill's </w:t>
      </w:r>
      <w:r>
        <w:rPr>
          <w:rFonts w:ascii="Times New Roman" w:eastAsia="Times New Roman" w:hAnsi="Times New Roman" w:cs="Times New Roman"/>
          <w:i/>
          <w:iCs/>
          <w:color w:val="5E4F4A"/>
          <w:spacing w:val="0"/>
          <w:w w:val="100"/>
          <w:position w:val="0"/>
          <w:shd w:val="clear" w:color="auto" w:fill="auto"/>
          <w:lang w:val="en-US" w:eastAsia="en-US" w:bidi="en-US"/>
        </w:rPr>
        <w:t>Body of Divinity.</w:t>
      </w:r>
      <w:r>
        <w:rPr>
          <w:rFonts w:ascii="Times New Roman" w:eastAsia="Times New Roman" w:hAnsi="Times New Roman" w:cs="Times New Roman"/>
          <w:color w:val="5E4F4A"/>
          <w:spacing w:val="0"/>
          <w:w w:val="100"/>
          <w:position w:val="0"/>
          <w:shd w:val="clear" w:color="auto" w:fill="auto"/>
          <w:lang w:val="en-US" w:eastAsia="en-US" w:bidi="en-US"/>
        </w:rPr>
        <w:t xml:space="preserve"> This laſt work, which was publiſhed in two </w:t>
      </w:r>
      <w:r>
        <w:rPr>
          <w:rFonts w:ascii="Times New Roman" w:eastAsia="Times New Roman" w:hAnsi="Times New Roman" w:cs="Times New Roman"/>
          <w:color w:val="5E4F4A"/>
          <w:spacing w:val="0"/>
          <w:w w:val="100"/>
          <w:position w:val="0"/>
          <w:shd w:val="clear" w:color="auto" w:fill="auto"/>
          <w:lang w:val="fr-FR" w:eastAsia="fr-FR" w:bidi="fr-FR"/>
        </w:rPr>
        <w:t xml:space="preserve">vols </w:t>
      </w:r>
      <w:r>
        <w:rPr>
          <w:rFonts w:ascii="Times New Roman" w:eastAsia="Times New Roman" w:hAnsi="Times New Roman" w:cs="Times New Roman"/>
          <w:color w:val="5E4F4A"/>
          <w:spacing w:val="0"/>
          <w:w w:val="100"/>
          <w:position w:val="0"/>
          <w:shd w:val="clear" w:color="auto" w:fill="auto"/>
          <w:lang w:val="en-US" w:eastAsia="en-US" w:bidi="en-US"/>
        </w:rPr>
        <w:t xml:space="preserve">4to in 1760, has many merits and many defects. Its ſtyle is coarse, impure, and tedious; and the author, who was a zealous </w:t>
      </w:r>
      <w:r>
        <w:rPr>
          <w:rFonts w:ascii="Times New Roman" w:eastAsia="Times New Roman" w:hAnsi="Times New Roman" w:cs="Times New Roman"/>
          <w:color w:val="5E4F4A"/>
          <w:spacing w:val="0"/>
          <w:w w:val="100"/>
          <w:position w:val="0"/>
          <w:shd w:val="clear" w:color="auto" w:fill="auto"/>
          <w:lang w:val="fr-FR" w:eastAsia="fr-FR" w:bidi="fr-FR"/>
        </w:rPr>
        <w:t xml:space="preserve">antipædo </w:t>
      </w:r>
      <w:r>
        <w:rPr>
          <w:rFonts w:ascii="Times New Roman" w:eastAsia="Times New Roman" w:hAnsi="Times New Roman" w:cs="Times New Roman"/>
          <w:color w:val="5E4F4A"/>
          <w:spacing w:val="0"/>
          <w:w w:val="100"/>
          <w:position w:val="0"/>
          <w:shd w:val="clear" w:color="auto" w:fill="auto"/>
          <w:lang w:val="en-US" w:eastAsia="en-US" w:bidi="en-US"/>
        </w:rPr>
        <w:t xml:space="preserve">baptiſt, and ſeems to have poſſessed very little ſcience, embraces every opportunity of introducing the diſcriminating tenets of his ſect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but his book is fraught with profound learn</w:t>
        <w:softHyphen/>
        <w:t>ing, breathes the ſpirit of piety, and may be read with ad</w:t>
        <w:softHyphen/>
        <w:t>vantage by every divine who has previouſly formed the out</w:t>
        <w:softHyphen/>
        <w:t>lines of a ſyſtem for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As the Jewiſh and Chriſtian diſpenſations are cloſely link</w:t>
        <w:softHyphen/>
        <w:t>ed together, being in truth but parts of one great whole, it is impossible to have an adequate notion of the latter without underſtanding the deſign of the former. Now, though the Moſaic religion is nowhere to be learned but in the Old Teſtament, it may be convenient for our ſt</w:t>
      </w:r>
      <w:r>
        <w:rPr>
          <w:rFonts w:ascii="Times New Roman" w:eastAsia="Times New Roman" w:hAnsi="Times New Roman" w:cs="Times New Roman"/>
          <w:color w:val="5E4F4A"/>
          <w:spacing w:val="0"/>
          <w:w w:val="100"/>
          <w:position w:val="0"/>
          <w:shd w:val="clear" w:color="auto" w:fill="auto"/>
          <w:lang w:val="la-001" w:eastAsia="la-001" w:bidi="la-001"/>
        </w:rPr>
        <w:t xml:space="preserve">udent, </w:t>
      </w:r>
      <w:r>
        <w:rPr>
          <w:rFonts w:ascii="Times New Roman" w:eastAsia="Times New Roman" w:hAnsi="Times New Roman" w:cs="Times New Roman"/>
          <w:color w:val="5E4F4A"/>
          <w:spacing w:val="0"/>
          <w:w w:val="100"/>
          <w:position w:val="0"/>
          <w:shd w:val="clear" w:color="auto" w:fill="auto"/>
          <w:lang w:val="en-US" w:eastAsia="en-US" w:bidi="en-US"/>
        </w:rPr>
        <w:t>after he has formed his own opinions of it from that ſacred ſource, to know what has been written on the ſubject by others. For illuſtrating the ritual law, a learned prelate warmly recom</w:t>
        <w:softHyphen/>
        <w:t xml:space="preserve">mends the </w:t>
      </w:r>
      <w:r>
        <w:rPr>
          <w:rFonts w:ascii="Times New Roman" w:eastAsia="Times New Roman" w:hAnsi="Times New Roman" w:cs="Times New Roman"/>
          <w:i/>
          <w:iCs/>
          <w:color w:val="5E4F4A"/>
          <w:spacing w:val="0"/>
          <w:w w:val="100"/>
          <w:position w:val="0"/>
          <w:shd w:val="clear" w:color="auto" w:fill="auto"/>
          <w:lang w:val="en-US" w:eastAsia="en-US" w:bidi="en-US"/>
        </w:rPr>
        <w:t xml:space="preserve">Ductor </w:t>
      </w:r>
      <w:r>
        <w:rPr>
          <w:rFonts w:ascii="Times New Roman" w:eastAsia="Times New Roman" w:hAnsi="Times New Roman" w:cs="Times New Roman"/>
          <w:i/>
          <w:iCs/>
          <w:color w:val="5E4F4A"/>
          <w:spacing w:val="0"/>
          <w:w w:val="100"/>
          <w:position w:val="0"/>
          <w:shd w:val="clear" w:color="auto" w:fill="auto"/>
          <w:lang w:val="la-001" w:eastAsia="la-001" w:bidi="la-001"/>
        </w:rPr>
        <w:t>Dubitantium</w:t>
      </w:r>
      <w:r>
        <w:rPr>
          <w:rFonts w:ascii="Times New Roman" w:eastAsia="Times New Roman" w:hAnsi="Times New Roman" w:cs="Times New Roman"/>
          <w:color w:val="5E4F4A"/>
          <w:spacing w:val="0"/>
          <w:w w:val="100"/>
          <w:position w:val="0"/>
          <w:shd w:val="clear" w:color="auto" w:fill="auto"/>
          <w:lang w:val="la-001" w:eastAsia="la-001" w:bidi="la-001"/>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of Maimonides, and Spencer’s book entitled </w:t>
      </w:r>
      <w:r>
        <w:rPr>
          <w:rFonts w:ascii="Times New Roman" w:eastAsia="Times New Roman" w:hAnsi="Times New Roman" w:cs="Times New Roman"/>
          <w:i/>
          <w:iCs/>
          <w:color w:val="5E4F4A"/>
          <w:spacing w:val="0"/>
          <w:w w:val="100"/>
          <w:position w:val="0"/>
          <w:shd w:val="clear" w:color="auto" w:fill="auto"/>
          <w:lang w:val="en-US" w:eastAsia="en-US" w:bidi="en-US"/>
        </w:rPr>
        <w:t xml:space="preserve">De </w:t>
      </w:r>
      <w:r>
        <w:rPr>
          <w:rFonts w:ascii="Times New Roman" w:eastAsia="Times New Roman" w:hAnsi="Times New Roman" w:cs="Times New Roman"/>
          <w:i/>
          <w:iCs/>
          <w:color w:val="5E4F4A"/>
          <w:spacing w:val="0"/>
          <w:w w:val="100"/>
          <w:position w:val="0"/>
          <w:shd w:val="clear" w:color="auto" w:fill="auto"/>
          <w:lang w:val="la-001" w:eastAsia="la-001" w:bidi="la-001"/>
        </w:rPr>
        <w:t>Legibus Hebraeorum Ritualibus.</w:t>
      </w:r>
      <w:r>
        <w:rPr>
          <w:rFonts w:ascii="Times New Roman" w:eastAsia="Times New Roman" w:hAnsi="Times New Roman" w:cs="Times New Roman"/>
          <w:color w:val="5E4F4A"/>
          <w:spacing w:val="0"/>
          <w:w w:val="100"/>
          <w:position w:val="0"/>
          <w:shd w:val="clear" w:color="auto" w:fill="auto"/>
          <w:lang w:val="la-001" w:eastAsia="la-001" w:bidi="la-001"/>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Both works have undoubtedly great merit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but our young divine will do well to read along with them </w:t>
      </w:r>
      <w:r>
        <w:rPr>
          <w:rFonts w:ascii="Times New Roman" w:eastAsia="Times New Roman" w:hAnsi="Times New Roman" w:cs="Times New Roman"/>
          <w:i/>
          <w:iCs/>
          <w:color w:val="5E4F4A"/>
          <w:spacing w:val="0"/>
          <w:w w:val="100"/>
          <w:position w:val="0"/>
          <w:shd w:val="clear" w:color="auto" w:fill="auto"/>
          <w:lang w:val="en-US" w:eastAsia="en-US" w:bidi="en-US"/>
        </w:rPr>
        <w:t xml:space="preserve">Hermanni Witsi </w:t>
      </w:r>
      <w:r>
        <w:rPr>
          <w:rFonts w:ascii="Times New Roman" w:eastAsia="Times New Roman" w:hAnsi="Times New Roman" w:cs="Times New Roman"/>
          <w:i/>
          <w:iCs/>
          <w:color w:val="5E4F4A"/>
          <w:spacing w:val="0"/>
          <w:w w:val="100"/>
          <w:position w:val="0"/>
          <w:shd w:val="clear" w:color="auto" w:fill="auto"/>
          <w:lang w:val="fr-FR" w:eastAsia="fr-FR" w:bidi="fr-FR"/>
        </w:rPr>
        <w:t>Ægypti</w:t>
      </w:r>
      <w:r>
        <w:rPr>
          <w:rFonts w:ascii="Times New Roman" w:eastAsia="Times New Roman" w:hAnsi="Times New Roman" w:cs="Times New Roman"/>
          <w:i/>
          <w:iCs/>
          <w:color w:val="5E4F4A"/>
          <w:spacing w:val="0"/>
          <w:w w:val="100"/>
          <w:position w:val="0"/>
          <w:shd w:val="clear" w:color="auto" w:fill="auto"/>
          <w:lang w:val="en-US" w:eastAsia="en-US" w:bidi="en-US"/>
        </w:rPr>
        <w:t>aca,</w:t>
      </w:r>
      <w:r>
        <w:rPr>
          <w:rFonts w:ascii="Times New Roman" w:eastAsia="Times New Roman" w:hAnsi="Times New Roman" w:cs="Times New Roman"/>
          <w:color w:val="5E4F4A"/>
          <w:spacing w:val="0"/>
          <w:w w:val="100"/>
          <w:position w:val="0"/>
          <w:shd w:val="clear" w:color="auto" w:fill="auto"/>
          <w:lang w:val="en-US" w:eastAsia="en-US" w:bidi="en-US"/>
        </w:rPr>
        <w:t xml:space="preserve"> and Dr Woodward’s Diſcourſe on the Worſhip of the Ancient Egyptians, communicated to the London Society of Antiquaries in 1775, where ſome of Spencer’s notions are ſhortly and ably refuted. On the other parts of this diſpenſation, ſuch as the nature of its civil government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the rewards and puniſhments peculiar to it </w:t>
      </w:r>
      <w:r>
        <w:rPr>
          <w:rFonts w:ascii="Times New Roman" w:eastAsia="Times New Roman" w:hAnsi="Times New Roman" w:cs="Times New Roman"/>
          <w:smallCaps/>
          <w:color w:val="5E4F4A"/>
          <w:spacing w:val="0"/>
          <w:w w:val="100"/>
          <w:position w:val="0"/>
          <w:shd w:val="clear" w:color="auto" w:fill="auto"/>
          <w:lang w:val="en-US" w:eastAsia="en-US" w:bidi="en-US"/>
        </w:rPr>
        <w:t>(D)</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its extraordi</w:t>
        <w:softHyphen/>
        <w:t>nary adminiſtration by appointed agents, endowed with ſupernatural powers, and with the gifts of miracles and pro</w:t>
        <w:softHyphen/>
        <w:t xml:space="preserve">phecy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i/>
          <w:iCs/>
          <w:color w:val="5E4F4A"/>
          <w:spacing w:val="0"/>
          <w:w w:val="100"/>
          <w:position w:val="0"/>
          <w:shd w:val="clear" w:color="auto" w:fill="auto"/>
          <w:lang w:val="en-US" w:eastAsia="en-US" w:bidi="en-US"/>
        </w:rPr>
        <w:t>double ſenſe</w:t>
      </w:r>
      <w:r>
        <w:rPr>
          <w:rFonts w:ascii="Times New Roman" w:eastAsia="Times New Roman" w:hAnsi="Times New Roman" w:cs="Times New Roman"/>
          <w:color w:val="5E4F4A"/>
          <w:spacing w:val="0"/>
          <w:w w:val="100"/>
          <w:position w:val="0"/>
          <w:shd w:val="clear" w:color="auto" w:fill="auto"/>
          <w:lang w:val="en-US" w:eastAsia="en-US" w:bidi="en-US"/>
        </w:rPr>
        <w:t xml:space="preserve"> in which the latter is ſometimes in</w:t>
        <w:softHyphen/>
        <w:t xml:space="preserve">volved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and the language conſequent to its nature and uſe</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the reader will find much erudition and ingenuity diſplayed in the ſecond part of Warburton’s </w:t>
      </w:r>
      <w:r>
        <w:rPr>
          <w:rFonts w:ascii="Times New Roman" w:eastAsia="Times New Roman" w:hAnsi="Times New Roman" w:cs="Times New Roman"/>
          <w:i/>
          <w:iCs/>
          <w:color w:val="5E4F4A"/>
          <w:spacing w:val="0"/>
          <w:w w:val="100"/>
          <w:position w:val="0"/>
          <w:shd w:val="clear" w:color="auto" w:fill="auto"/>
          <w:lang w:val="en-US" w:eastAsia="en-US" w:bidi="en-US"/>
        </w:rPr>
        <w:t>Divine Legation of Moses demοnstrated.</w:t>
      </w:r>
      <w:r>
        <w:rPr>
          <w:rFonts w:ascii="Times New Roman" w:eastAsia="Times New Roman" w:hAnsi="Times New Roman" w:cs="Times New Roman"/>
          <w:color w:val="5E4F4A"/>
          <w:spacing w:val="0"/>
          <w:w w:val="100"/>
          <w:position w:val="0"/>
          <w:shd w:val="clear" w:color="auto" w:fill="auto"/>
          <w:lang w:val="en-US" w:eastAsia="en-US" w:bidi="en-US"/>
        </w:rPr>
        <w:t xml:space="preserve"> His Lordſhip indeed is ſuppoſed by many, and perhaps juſtly, to have advanced, together with a great deal of good ſenſe, many paradoxes in his favourite work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but ſtill that work is entitled to a ſerious peruſal, for it diſplays great learning and genius, and, we believe, the heavieſt censures have fallen upon it from thoſe by whom it was never read.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Having proceeded thus far in the courſe, the ſtudent’s next buſineſs ſhould be to inquire seriouſly what evi</w:t>
        <w:softHyphen/>
        <w:t xml:space="preserve">dence there is that the doctrines which he has ſo carefully ſtudied were indeed revealed in times paſt by God. He muſt already have perceived, in the nature and tendency of the doctrines themſelves, ſtrong marks of their origin being </w:t>
      </w:r>
      <w:r>
        <w:rPr>
          <w:rFonts w:ascii="Times New Roman" w:eastAsia="Times New Roman" w:hAnsi="Times New Roman" w:cs="Times New Roman"/>
          <w:color w:val="000000"/>
          <w:spacing w:val="0"/>
          <w:w w:val="100"/>
          <w:position w:val="0"/>
          <w:shd w:val="clear" w:color="auto" w:fill="auto"/>
          <w:lang w:val="en-US" w:eastAsia="en-US" w:bidi="en-US"/>
        </w:rPr>
        <w:t xml:space="preserve">more than human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muſt likewiſe have met with ma</w:t>
        <w:softHyphen/>
        <w:t>ny difficulties, and he muſt prepare himſelf to repel the at</w:t>
        <w:softHyphen/>
        <w:t xml:space="preserve">tacks of unbelievers. Here he will find opportunities of exerting the utmoſt powers of his reaſoning faculties, and of employing in the ſervice of religion all the ſtores he may have amaſſed of human learning. The ſcriptures pretend to have been written by ſeveral men who lived in different ages of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lateſt of them in an age very re</w:t>
        <w:softHyphen/>
        <w:t xml:space="preserve">mote from the preſent. His firſt buſineſs therefore muſt be to prove the authenticity of theſe books, by tracing them up by hiſtorical evidence to the ſeveral writers whoſe names they bear. But it is not enough to prove them authentic. They profeſs to have been written by men divinely aſſiſted and inſpired, and of courſe infallible in what they wrote. He muſt therefore inquire into the truth of this inſpiration.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Bible contains a number of truths doctrinal and mo</w:t>
        <w:softHyphen/>
        <w:t xml:space="preserve">ral, which are called </w:t>
      </w:r>
      <w:r>
        <w:rPr>
          <w:rFonts w:ascii="Times New Roman" w:eastAsia="Times New Roman" w:hAnsi="Times New Roman" w:cs="Times New Roman"/>
          <w:i/>
          <w:iCs/>
          <w:color w:val="000000"/>
          <w:spacing w:val="0"/>
          <w:w w:val="100"/>
          <w:position w:val="0"/>
          <w:shd w:val="clear" w:color="auto" w:fill="auto"/>
          <w:lang w:val="en-US" w:eastAsia="en-US" w:bidi="en-US"/>
        </w:rPr>
        <w:t>mysteries,</w:t>
      </w:r>
      <w:r>
        <w:rPr>
          <w:rFonts w:ascii="Times New Roman" w:eastAsia="Times New Roman" w:hAnsi="Times New Roman" w:cs="Times New Roman"/>
          <w:color w:val="000000"/>
          <w:spacing w:val="0"/>
          <w:w w:val="100"/>
          <w:position w:val="0"/>
          <w:shd w:val="clear" w:color="auto" w:fill="auto"/>
          <w:lang w:val="en-US" w:eastAsia="en-US" w:bidi="en-US"/>
        </w:rPr>
        <w:t xml:space="preserve"> and aſſerted to be the imme</w:t>
        <w:softHyphen/>
        <w:t xml:space="preserve">diate dictates of God himſelf. To evince this great point to man, a number of ſupernatural </w:t>
      </w:r>
      <w:r>
        <w:rPr>
          <w:rFonts w:ascii="Times New Roman" w:eastAsia="Times New Roman" w:hAnsi="Times New Roman" w:cs="Times New Roman"/>
          <w:i/>
          <w:iCs/>
          <w:color w:val="000000"/>
          <w:spacing w:val="0"/>
          <w:w w:val="100"/>
          <w:position w:val="0"/>
          <w:shd w:val="clear" w:color="auto" w:fill="auto"/>
          <w:lang w:val="en-US" w:eastAsia="en-US" w:bidi="en-US"/>
        </w:rPr>
        <w:t>tests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evidences</w:t>
      </w:r>
      <w:r>
        <w:rPr>
          <w:rFonts w:ascii="Times New Roman" w:eastAsia="Times New Roman" w:hAnsi="Times New Roman" w:cs="Times New Roman"/>
          <w:color w:val="000000"/>
          <w:spacing w:val="0"/>
          <w:w w:val="100"/>
          <w:position w:val="0"/>
          <w:shd w:val="clear" w:color="auto" w:fill="auto"/>
          <w:lang w:val="en-US" w:eastAsia="en-US" w:bidi="en-US"/>
        </w:rPr>
        <w:t xml:space="preserve"> are inſeparably connected with thoſe myſteries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if the for</w:t>
        <w:softHyphen/>
        <w:t>mer be true, the latter muſt likewiſe be ſo, He muſt there</w:t>
        <w:softHyphen/>
        <w:t>fore examine theſe teſts and evidences, to eſtabliſh the divi</w:t>
        <w:softHyphen/>
        <w:t>nity of the Holy Scriptures ;” and in this part of his courſe he will find much aſſiſtance ſrom many writers whoſe de</w:t>
        <w:softHyphen/>
        <w:t>fences of the truth and divinity of the Chriſtian religion do honour to human nature.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93" w:left="814" w:right="814" w:bottom="1383" w:header="0" w:footer="3" w:gutter="144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ſtep towards the embracing of any truth is, to get fairly rid of the objections which are made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general objections made by deiſtical writers to the Chri</w:t>
        <w:softHyphen/>
        <w:t xml:space="preserve">ſtian revelation are by no writer more completely removed than by Biſhop Butler, in his celebrated work entitled </w:t>
      </w:r>
      <w:r>
        <w:rPr>
          <w:rFonts w:ascii="Times New Roman" w:eastAsia="Times New Roman" w:hAnsi="Times New Roman" w:cs="Times New Roman"/>
          <w:i/>
          <w:iCs/>
          <w:color w:val="000000"/>
          <w:spacing w:val="0"/>
          <w:w w:val="100"/>
          <w:position w:val="0"/>
          <w:shd w:val="clear" w:color="auto" w:fill="auto"/>
          <w:lang w:val="en-US" w:eastAsia="en-US" w:bidi="en-US"/>
        </w:rPr>
        <w:t>The Analogy of Religion natural and revealed to the Constitution and Courſe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This book therefore the ſtudent ſhould read with attention, and meditate upon with patience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it does not furnish a </w:t>
      </w:r>
      <w:r>
        <w:rPr>
          <w:rFonts w:ascii="Times New Roman" w:eastAsia="Times New Roman" w:hAnsi="Times New Roman" w:cs="Times New Roman"/>
          <w:i/>
          <w:iCs/>
          <w:color w:val="000000"/>
          <w:spacing w:val="0"/>
          <w:w w:val="100"/>
          <w:position w:val="0"/>
          <w:shd w:val="clear" w:color="auto" w:fill="auto"/>
          <w:lang w:val="en-US" w:eastAsia="en-US" w:bidi="en-US"/>
        </w:rPr>
        <w:t>positive proof</w:t>
      </w:r>
      <w:r>
        <w:rPr>
          <w:rFonts w:ascii="Times New Roman" w:eastAsia="Times New Roman" w:hAnsi="Times New Roman" w:cs="Times New Roman"/>
          <w:color w:val="000000"/>
          <w:spacing w:val="0"/>
          <w:w w:val="100"/>
          <w:position w:val="0"/>
          <w:shd w:val="clear" w:color="auto" w:fill="auto"/>
          <w:lang w:val="en-US" w:eastAsia="en-US" w:bidi="en-US"/>
        </w:rPr>
        <w:t xml:space="preserve"> of the divinity of our religion, he ſhould paſs from it to </w:t>
      </w:r>
      <w:r>
        <w:rPr>
          <w:rFonts w:ascii="Times New Roman" w:eastAsia="Times New Roman" w:hAnsi="Times New Roman" w:cs="Times New Roman"/>
          <w:i/>
          <w:iCs/>
          <w:color w:val="000000"/>
          <w:spacing w:val="0"/>
          <w:w w:val="100"/>
          <w:position w:val="0"/>
          <w:shd w:val="clear" w:color="auto" w:fill="auto"/>
          <w:lang w:val="fr-FR" w:eastAsia="fr-FR" w:bidi="fr-FR"/>
        </w:rPr>
        <w:t xml:space="preserve">Grotius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Veritate Reli</w:t>
        <w:softHyphen/>
        <w:t>gionis Christianae</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Stillingfleet's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Origines </w:t>
      </w:r>
      <w:r>
        <w:rPr>
          <w:rFonts w:ascii="Times New Roman" w:eastAsia="Times New Roman" w:hAnsi="Times New Roman" w:cs="Times New Roman"/>
          <w:i/>
          <w:iCs/>
          <w:color w:val="000000"/>
          <w:spacing w:val="0"/>
          <w:w w:val="100"/>
          <w:position w:val="0"/>
          <w:shd w:val="clear" w:color="auto" w:fill="auto"/>
          <w:lang w:val="en-US" w:eastAsia="en-US" w:bidi="en-US"/>
        </w:rPr>
        <w:t>Sacra.</w:t>
      </w:r>
      <w:r>
        <w:rPr>
          <w:rFonts w:ascii="Times New Roman" w:eastAsia="Times New Roman" w:hAnsi="Times New Roman" w:cs="Times New Roman"/>
          <w:color w:val="000000"/>
          <w:spacing w:val="0"/>
          <w:w w:val="100"/>
          <w:position w:val="0"/>
          <w:shd w:val="clear" w:color="auto" w:fill="auto"/>
          <w:lang w:val="en-US" w:eastAsia="en-US" w:bidi="en-US"/>
        </w:rPr>
        <w:t xml:space="preserve"> Both theſe works are excellent; and the latter, which may be con</w:t>
        <w:softHyphen/>
        <w:t>ſidered as an improvement of the former, is perhaps the fulleſt and ableſt defence of revelation in general that is to be found in any language. In this part of the united king</w:t>
        <w:softHyphen/>
        <w:t xml:space="preserve">dom it is now indeed hardly mentioned, or mentioned with indifference; but half a century ago the Engliſh divines thought it a ſubject of triumph, and ſtyled its author their </w:t>
      </w:r>
      <w:r>
        <w:rPr>
          <w:rFonts w:ascii="Times New Roman" w:eastAsia="Times New Roman" w:hAnsi="Times New Roman" w:cs="Times New Roman"/>
          <w:i/>
          <w:iCs/>
          <w:color w:val="000000"/>
          <w:spacing w:val="0"/>
          <w:w w:val="100"/>
          <w:position w:val="0"/>
          <w:shd w:val="clear" w:color="auto" w:fill="auto"/>
          <w:lang w:val="en-US" w:eastAsia="en-US" w:bidi="en-US"/>
        </w:rPr>
        <w:t>incomparable Stillingfleet.</w:t>
      </w:r>
      <w:r>
        <w:rPr>
          <w:rFonts w:ascii="Times New Roman" w:eastAsia="Times New Roman" w:hAnsi="Times New Roman" w:cs="Times New Roman"/>
          <w:color w:val="000000"/>
          <w:spacing w:val="0"/>
          <w:w w:val="100"/>
          <w:position w:val="0"/>
          <w:shd w:val="clear" w:color="auto" w:fill="auto"/>
          <w:lang w:val="en-US" w:eastAsia="en-US" w:bidi="en-US"/>
        </w:rPr>
        <w:t xml:space="preserve"> Other works, however, may be read with great advantage, and none with greater than Pa</w:t>
        <w:softHyphen/>
        <w:t xml:space="preserve">ley’s </w:t>
      </w:r>
      <w:r>
        <w:rPr>
          <w:rFonts w:ascii="Times New Roman" w:eastAsia="Times New Roman" w:hAnsi="Times New Roman" w:cs="Times New Roman"/>
          <w:i/>
          <w:iCs/>
          <w:color w:val="000000"/>
          <w:spacing w:val="0"/>
          <w:w w:val="100"/>
          <w:position w:val="0"/>
          <w:shd w:val="clear" w:color="auto" w:fill="auto"/>
          <w:lang w:val="en-US" w:eastAsia="en-US" w:bidi="en-US"/>
        </w:rPr>
        <w:t>Evidences of the Christian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and Leſlie’s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Short Method with the Deists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work, in the compaſs of a very few pages, contains proofs of the divinity of the Jew</w:t>
        <w:softHyphen/>
        <w:t>iſh and Chriſtian revelations, to which the celebrated Dr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ledges (lib. iv. ſect. 2. cap. 33.) that it may be proved from ſcripture, that the perſon who was afterwards Jeſus Chriſt was from eternity the only begotten of his Father, by whom all things were made, and that therefore he is really and truly God. He mentions five ſenſes in which our Saviour is called the ſon of God; and ſhews that in this fifth and laſt ſenſe the filiation is peculiar to him alone. Yet in cap 34. he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la-001" w:eastAsia="la-001" w:bidi="la-001"/>
        </w:rPr>
        <w:t xml:space="preserve">quintus </w:t>
      </w:r>
      <w:r>
        <w:rPr>
          <w:rFonts w:ascii="Times New Roman" w:eastAsia="Times New Roman" w:hAnsi="Times New Roman" w:cs="Times New Roman"/>
          <w:color w:val="000000"/>
          <w:spacing w:val="0"/>
          <w:w w:val="100"/>
          <w:position w:val="0"/>
          <w:shd w:val="clear" w:color="auto" w:fill="auto"/>
          <w:lang w:val="en-US" w:eastAsia="en-US" w:bidi="en-US"/>
        </w:rPr>
        <w:t>iſte mo</w:t>
        <w:softHyphen/>
        <w:t xml:space="preserve">dus </w:t>
      </w:r>
      <w:r>
        <w:rPr>
          <w:rFonts w:ascii="Times New Roman" w:eastAsia="Times New Roman" w:hAnsi="Times New Roman" w:cs="Times New Roman"/>
          <w:color w:val="000000"/>
          <w:spacing w:val="0"/>
          <w:w w:val="100"/>
          <w:position w:val="0"/>
          <w:shd w:val="clear" w:color="auto" w:fill="auto"/>
          <w:lang w:val="la-001" w:eastAsia="la-001" w:bidi="la-001"/>
        </w:rPr>
        <w:t xml:space="preserve">filiationis </w:t>
      </w:r>
      <w:r>
        <w:rPr>
          <w:rFonts w:ascii="Times New Roman" w:eastAsia="Times New Roman" w:hAnsi="Times New Roman" w:cs="Times New Roman"/>
          <w:color w:val="000000"/>
          <w:spacing w:val="0"/>
          <w:w w:val="100"/>
          <w:position w:val="0"/>
          <w:shd w:val="clear" w:color="auto" w:fill="auto"/>
          <w:lang w:val="en-US" w:eastAsia="en-US" w:bidi="en-US"/>
        </w:rPr>
        <w:t xml:space="preserve">Jeſu Chriſti ad ſalutem ſcitu </w:t>
      </w:r>
      <w:r>
        <w:rPr>
          <w:rFonts w:ascii="Times New Roman" w:eastAsia="Times New Roman" w:hAnsi="Times New Roman" w:cs="Times New Roman"/>
          <w:color w:val="000000"/>
          <w:spacing w:val="0"/>
          <w:w w:val="100"/>
          <w:position w:val="0"/>
          <w:shd w:val="clear" w:color="auto" w:fill="auto"/>
          <w:lang w:val="la-001" w:eastAsia="la-001" w:bidi="la-001"/>
        </w:rPr>
        <w:t xml:space="preserve">ac creditu </w:t>
      </w:r>
      <w:r>
        <w:rPr>
          <w:rFonts w:ascii="Times New Roman" w:eastAsia="Times New Roman" w:hAnsi="Times New Roman" w:cs="Times New Roman"/>
          <w:color w:val="000000"/>
          <w:spacing w:val="0"/>
          <w:w w:val="100"/>
          <w:position w:val="0"/>
          <w:shd w:val="clear" w:color="auto" w:fill="auto"/>
          <w:lang w:val="en-US" w:eastAsia="en-US" w:bidi="en-US"/>
        </w:rPr>
        <w:t xml:space="preserve">neceſſarins sit, usque, </w:t>
      </w:r>
      <w:r>
        <w:rPr>
          <w:rFonts w:ascii="Times New Roman" w:eastAsia="Times New Roman" w:hAnsi="Times New Roman" w:cs="Times New Roman"/>
          <w:color w:val="000000"/>
          <w:spacing w:val="0"/>
          <w:w w:val="100"/>
          <w:position w:val="0"/>
          <w:shd w:val="clear" w:color="auto" w:fill="auto"/>
          <w:lang w:val="la-001" w:eastAsia="la-001" w:bidi="la-001"/>
        </w:rPr>
        <w:t xml:space="preserve">qui illum </w:t>
      </w:r>
      <w:r>
        <w:rPr>
          <w:rFonts w:ascii="Times New Roman" w:eastAsia="Times New Roman" w:hAnsi="Times New Roman" w:cs="Times New Roman"/>
          <w:color w:val="000000"/>
          <w:spacing w:val="0"/>
          <w:w w:val="100"/>
          <w:position w:val="0"/>
          <w:shd w:val="clear" w:color="auto" w:fill="auto"/>
          <w:lang w:val="fr-FR" w:eastAsia="fr-FR" w:bidi="fr-FR"/>
        </w:rPr>
        <w:t>neg</w:t>
      </w:r>
      <w:r>
        <w:rPr>
          <w:rFonts w:ascii="Times New Roman" w:eastAsia="Times New Roman" w:hAnsi="Times New Roman" w:cs="Times New Roman"/>
          <w:color w:val="000000"/>
          <w:spacing w:val="0"/>
          <w:w w:val="100"/>
          <w:position w:val="0"/>
          <w:shd w:val="clear" w:color="auto" w:fill="auto"/>
          <w:lang w:val="en-US" w:eastAsia="en-US" w:bidi="en-US"/>
        </w:rPr>
        <w:t xml:space="preserve">ant, anathema </w:t>
      </w:r>
      <w:r>
        <w:rPr>
          <w:rFonts w:ascii="Times New Roman" w:eastAsia="Times New Roman" w:hAnsi="Times New Roman" w:cs="Times New Roman"/>
          <w:color w:val="000000"/>
          <w:spacing w:val="0"/>
          <w:w w:val="100"/>
          <w:position w:val="0"/>
          <w:shd w:val="clear" w:color="auto" w:fill="auto"/>
          <w:lang w:val="la-001" w:eastAsia="la-001" w:bidi="la-001"/>
        </w:rPr>
        <w:t>dicendum s</w:t>
      </w:r>
      <w:r>
        <w:rPr>
          <w:rFonts w:ascii="Times New Roman" w:eastAsia="Times New Roman" w:hAnsi="Times New Roman" w:cs="Times New Roman"/>
          <w:color w:val="000000"/>
          <w:spacing w:val="0"/>
          <w:w w:val="100"/>
          <w:position w:val="0"/>
          <w:shd w:val="clear" w:color="auto" w:fill="auto"/>
          <w:lang w:val="fr-FR" w:eastAsia="fr-FR" w:bidi="fr-FR"/>
        </w:rPr>
        <w:t xml:space="preserve">it ?” </w:t>
      </w:r>
      <w:r>
        <w:rPr>
          <w:rFonts w:ascii="Times New Roman" w:eastAsia="Times New Roman" w:hAnsi="Times New Roman" w:cs="Times New Roman"/>
          <w:color w:val="000000"/>
          <w:spacing w:val="0"/>
          <w:w w:val="100"/>
          <w:position w:val="0"/>
          <w:shd w:val="clear" w:color="auto" w:fill="auto"/>
          <w:lang w:val="en-US" w:eastAsia="en-US" w:bidi="en-US"/>
        </w:rPr>
        <w:t xml:space="preserve">and gravely anſwers it in the negative. It is not to be wondered at that moſt Arminians differ from this celebrated remonſtrant in their anſwers to this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nothing can be more abſurd than to hold religious communion with thoſe who deny the </w:t>
      </w:r>
      <w:r>
        <w:rPr>
          <w:rFonts w:ascii="Times New Roman" w:eastAsia="Times New Roman" w:hAnsi="Times New Roman" w:cs="Times New Roman"/>
          <w:i/>
          <w:iCs/>
          <w:color w:val="000000"/>
          <w:spacing w:val="0"/>
          <w:w w:val="100"/>
          <w:position w:val="0"/>
          <w:shd w:val="clear" w:color="auto" w:fill="auto"/>
          <w:lang w:val="en-US" w:eastAsia="en-US" w:bidi="en-US"/>
        </w:rPr>
        <w:t>divinity</w:t>
      </w:r>
      <w:r>
        <w:rPr>
          <w:rFonts w:ascii="Times New Roman" w:eastAsia="Times New Roman" w:hAnsi="Times New Roman" w:cs="Times New Roman"/>
          <w:color w:val="000000"/>
          <w:spacing w:val="0"/>
          <w:w w:val="100"/>
          <w:position w:val="0"/>
          <w:shd w:val="clear" w:color="auto" w:fill="auto"/>
          <w:lang w:val="en-US" w:eastAsia="en-US" w:bidi="en-US"/>
        </w:rPr>
        <w:t xml:space="preserve"> of that person, whoſe divinity, it is </w:t>
      </w:r>
      <w:r>
        <w:rPr>
          <w:rFonts w:ascii="Times New Roman" w:eastAsia="Times New Roman" w:hAnsi="Times New Roman" w:cs="Times New Roman"/>
          <w:i/>
          <w:iCs/>
          <w:color w:val="000000"/>
          <w:spacing w:val="0"/>
          <w:w w:val="100"/>
          <w:position w:val="0"/>
          <w:shd w:val="clear" w:color="auto" w:fill="auto"/>
          <w:lang w:val="en-US" w:eastAsia="en-US" w:bidi="en-US"/>
        </w:rPr>
        <w:t>acknowledged,</w:t>
      </w:r>
      <w:r>
        <w:rPr>
          <w:rFonts w:ascii="Times New Roman" w:eastAsia="Times New Roman" w:hAnsi="Times New Roman" w:cs="Times New Roman"/>
          <w:color w:val="000000"/>
          <w:spacing w:val="0"/>
          <w:w w:val="100"/>
          <w:position w:val="0"/>
          <w:shd w:val="clear" w:color="auto" w:fill="auto"/>
          <w:lang w:val="en-US" w:eastAsia="en-US" w:bidi="en-US"/>
        </w:rPr>
        <w:t xml:space="preserve"> may be clearly proved. Against this extravagant poſition many Arminian pens were 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none to better purpoſe than that of biſhop Bull, whoſe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Judicium Ecclesiae </w:t>
      </w:r>
      <w:r>
        <w:rPr>
          <w:rFonts w:ascii="Times New Roman" w:eastAsia="Times New Roman" w:hAnsi="Times New Roman" w:cs="Times New Roman"/>
          <w:i/>
          <w:iCs/>
          <w:color w:val="000000"/>
          <w:spacing w:val="0"/>
          <w:w w:val="100"/>
          <w:position w:val="0"/>
          <w:shd w:val="clear" w:color="auto" w:fill="auto"/>
          <w:lang w:val="la-001" w:eastAsia="la-001" w:bidi="la-001"/>
        </w:rPr>
        <w:t>Catholica trium primorum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eculοrum, &amp;c. assertum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contra 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Simonem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Epiſcopium </w:t>
      </w:r>
      <w:r>
        <w:rPr>
          <w:rFonts w:ascii="Times New Roman" w:eastAsia="Times New Roman" w:hAnsi="Times New Roman" w:cs="Times New Roman"/>
          <w:i/>
          <w:iCs/>
          <w:color w:val="000000"/>
          <w:spacing w:val="0"/>
          <w:w w:val="100"/>
          <w:position w:val="0"/>
          <w:shd w:val="clear" w:color="auto" w:fill="auto"/>
          <w:lang w:val="la-001" w:eastAsia="la-001" w:bidi="la-001"/>
        </w:rPr>
        <w:t>aliosque,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obtained for its author the thanks Of the whole clergy of France aſſembled ( 1710) 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 Germaine </w:t>
      </w:r>
      <w:r>
        <w:rPr>
          <w:rFonts w:ascii="Times New Roman" w:eastAsia="Times New Roman" w:hAnsi="Times New Roman" w:cs="Times New Roman"/>
          <w:i/>
          <w:iCs/>
          <w:color w:val="000000"/>
          <w:spacing w:val="0"/>
          <w:w w:val="100"/>
          <w:position w:val="0"/>
          <w:shd w:val="clear" w:color="auto" w:fill="auto"/>
          <w:lang w:val="fr-FR" w:eastAsia="fr-FR" w:bidi="fr-FR"/>
        </w:rPr>
        <w:t>en Laye</w:t>
      </w:r>
      <w:r>
        <w:rPr>
          <w:rFonts w:ascii="Times New Roman" w:eastAsia="Times New Roman" w:hAnsi="Times New Roman" w:cs="Times New Roman"/>
          <w:color w:val="000000"/>
          <w:spacing w:val="0"/>
          <w:w w:val="100"/>
          <w:position w:val="0"/>
          <w:shd w:val="clear" w:color="auto" w:fill="auto"/>
          <w:lang w:val="en-US" w:eastAsia="en-US" w:bidi="en-US"/>
        </w:rPr>
        <w:t xml:space="preserve"> in a national ſynod.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On this ſubject the reader will find many excellent obſervations in Biſhop Bull’s </w:t>
      </w:r>
      <w:r>
        <w:rPr>
          <w:rFonts w:ascii="Times New Roman" w:eastAsia="Times New Roman" w:hAnsi="Times New Roman" w:cs="Times New Roman"/>
          <w:i/>
          <w:iCs/>
          <w:color w:val="000000"/>
          <w:spacing w:val="0"/>
          <w:w w:val="100"/>
          <w:position w:val="0"/>
          <w:shd w:val="clear" w:color="auto" w:fill="auto"/>
          <w:lang w:val="la-001" w:eastAsia="la-001" w:bidi="la-001"/>
        </w:rPr>
        <w:t>Harmonia A</w:t>
      </w:r>
      <w:r>
        <w:rPr>
          <w:rFonts w:ascii="Times New Roman" w:eastAsia="Times New Roman" w:hAnsi="Times New Roman" w:cs="Times New Roman"/>
          <w:i/>
          <w:iCs/>
          <w:color w:val="000000"/>
          <w:spacing w:val="0"/>
          <w:w w:val="100"/>
          <w:position w:val="0"/>
          <w:shd w:val="clear" w:color="auto" w:fill="auto"/>
          <w:lang w:val="en-US" w:eastAsia="en-US" w:bidi="en-US"/>
        </w:rPr>
        <w:t>postolica,</w:t>
      </w:r>
      <w:r>
        <w:rPr>
          <w:rFonts w:ascii="Times New Roman" w:eastAsia="Times New Roman" w:hAnsi="Times New Roman" w:cs="Times New Roman"/>
          <w:color w:val="000000"/>
          <w:spacing w:val="0"/>
          <w:w w:val="100"/>
          <w:position w:val="0"/>
          <w:shd w:val="clear" w:color="auto" w:fill="auto"/>
          <w:lang w:val="en-US" w:eastAsia="en-US" w:bidi="en-US"/>
        </w:rPr>
        <w:t xml:space="preserve"> with its ſe</w:t>
        <w:softHyphen/>
        <w:t>veral defences, and in a ſmall book of Dr Wells’s, entitled An Help for the right underſtanding of the ſeveral Divine Laws and Covenants, whereby man has been obliged through the ſeveral ages of the world to guide himſelf in order to salvation.</w:t>
      </w:r>
    </w:p>
    <w:sectPr>
      <w:footnotePr>
        <w:pos w:val="pageBottom"/>
        <w:numFmt w:val="decimal"/>
        <w:numRestart w:val="continuous"/>
      </w:footnotePr>
      <w:type w:val="continuous"/>
      <w:pgSz w:w="12240" w:h="15840"/>
      <w:pgMar w:top="1093" w:left="796" w:right="796" w:bottom="1093"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