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34" w:val="left"/>
        </w:tabs>
        <w:bidi w:val="0"/>
        <w:spacing w:line="214" w:lineRule="auto"/>
        <w:ind w:left="0" w:firstLine="0"/>
        <w:jc w:val="left"/>
      </w:pPr>
      <w:r>
        <w:rPr>
          <w:color w:val="5E503C"/>
          <w:spacing w:val="0"/>
          <w:w w:val="100"/>
          <w:position w:val="0"/>
          <w:shd w:val="clear" w:color="auto" w:fill="auto"/>
          <w:lang w:val="en-US" w:eastAsia="en-US" w:bidi="en-US"/>
        </w:rPr>
        <w:t xml:space="preserve">are the following, viz. Cod. </w:t>
      </w:r>
      <w:r>
        <w:rPr>
          <w:color w:val="5E503C"/>
          <w:spacing w:val="0"/>
          <w:w w:val="100"/>
          <w:position w:val="0"/>
          <w:shd w:val="clear" w:color="auto" w:fill="auto"/>
          <w:lang w:val="la-001" w:eastAsia="la-001" w:bidi="la-001"/>
        </w:rPr>
        <w:t xml:space="preserve">Cyprius </w:t>
      </w:r>
      <w:r>
        <w:rPr>
          <w:color w:val="5E503C"/>
          <w:spacing w:val="0"/>
          <w:w w:val="100"/>
          <w:position w:val="0"/>
          <w:shd w:val="clear" w:color="auto" w:fill="auto"/>
          <w:lang w:val="en-US" w:eastAsia="en-US" w:bidi="en-US"/>
        </w:rPr>
        <w:t xml:space="preserve">(olim Colbertinus, K) ; Basiliensis, b. vi. 21 (E) ; Basiliensis, b. vi. 27 (vel Reuch- linianus) ; </w:t>
      </w:r>
      <w:r>
        <w:rPr>
          <w:color w:val="5E503C"/>
          <w:spacing w:val="0"/>
          <w:w w:val="100"/>
          <w:position w:val="0"/>
          <w:shd w:val="clear" w:color="auto" w:fill="auto"/>
          <w:lang w:val="de-DE" w:eastAsia="de-DE" w:bidi="de-DE"/>
        </w:rPr>
        <w:t xml:space="preserve">Stephani </w:t>
      </w:r>
      <w:r>
        <w:rPr>
          <w:color w:val="5E503C"/>
          <w:spacing w:val="0"/>
          <w:w w:val="100"/>
          <w:position w:val="0"/>
          <w:shd w:val="clear" w:color="auto" w:fill="auto"/>
          <w:lang w:val="la-001" w:eastAsia="la-001" w:bidi="la-001"/>
        </w:rPr>
        <w:t xml:space="preserve">Octavus </w:t>
      </w:r>
      <w:r>
        <w:rPr>
          <w:color w:val="5E503C"/>
          <w:spacing w:val="0"/>
          <w:w w:val="100"/>
          <w:position w:val="0"/>
          <w:shd w:val="clear" w:color="auto" w:fill="auto"/>
          <w:lang w:val="en-US" w:eastAsia="en-US" w:bidi="en-US"/>
        </w:rPr>
        <w:t xml:space="preserve">(L); Winchilseanus (106); Regius (M) ; Mosquenses </w:t>
      </w:r>
      <w:r>
        <w:rPr>
          <w:color w:val="5E503C"/>
          <w:spacing w:val="0"/>
          <w:w w:val="100"/>
          <w:position w:val="0"/>
          <w:shd w:val="clear" w:color="auto" w:fill="auto"/>
          <w:lang w:val="fr-FR" w:eastAsia="fr-FR" w:bidi="fr-FR"/>
        </w:rPr>
        <w:t xml:space="preserve">Bibliothecæ </w:t>
      </w:r>
      <w:r>
        <w:rPr>
          <w:color w:val="5E503C"/>
          <w:spacing w:val="0"/>
          <w:w w:val="100"/>
          <w:position w:val="0"/>
          <w:shd w:val="clear" w:color="auto" w:fill="auto"/>
          <w:lang w:val="la-001" w:eastAsia="la-001" w:bidi="la-001"/>
        </w:rPr>
        <w:t xml:space="preserve">S. Synodi, </w:t>
      </w:r>
      <w:r>
        <w:rPr>
          <w:color w:val="5E503C"/>
          <w:spacing w:val="0"/>
          <w:w w:val="100"/>
          <w:position w:val="0"/>
          <w:shd w:val="clear" w:color="auto" w:fill="auto"/>
          <w:lang w:val="en-US" w:eastAsia="en-US" w:bidi="en-US"/>
        </w:rPr>
        <w:t>iv. v. xliii. xcviii.</w:t>
      </w:r>
    </w:p>
    <w:p>
      <w:pPr>
        <w:pStyle w:val="Style5"/>
        <w:keepNext w:val="0"/>
        <w:keepLines w:val="0"/>
        <w:widowControl w:val="0"/>
        <w:shd w:val="clear" w:color="auto" w:fill="auto"/>
        <w:bidi w:val="0"/>
        <w:ind w:left="0" w:firstLine="360"/>
        <w:jc w:val="left"/>
        <w:rPr>
          <w:sz w:val="14"/>
          <w:szCs w:val="14"/>
        </w:rPr>
      </w:pPr>
      <w:r>
        <w:rPr>
          <w:color w:val="5E503C"/>
          <w:spacing w:val="0"/>
          <w:w w:val="100"/>
          <w:position w:val="0"/>
          <w:sz w:val="14"/>
          <w:szCs w:val="14"/>
          <w:shd w:val="clear" w:color="auto" w:fill="auto"/>
          <w:lang w:val="en-US" w:eastAsia="en-US" w:bidi="en-US"/>
        </w:rPr>
        <w:t xml:space="preserve">Schott, </w:t>
      </w:r>
      <w:r>
        <w:rPr>
          <w:i/>
          <w:iCs/>
          <w:color w:val="5E503C"/>
          <w:spacing w:val="0"/>
          <w:w w:val="100"/>
          <w:position w:val="0"/>
          <w:sz w:val="14"/>
          <w:szCs w:val="14"/>
          <w:shd w:val="clear" w:color="auto" w:fill="auto"/>
          <w:lang w:val="la-001" w:eastAsia="la-001" w:bidi="la-001"/>
        </w:rPr>
        <w:t>Isagoge,</w:t>
      </w:r>
      <w:r>
        <w:rPr>
          <w:color w:val="5E503C"/>
          <w:spacing w:val="0"/>
          <w:w w:val="100"/>
          <w:position w:val="0"/>
          <w:sz w:val="14"/>
          <w:szCs w:val="14"/>
          <w:shd w:val="clear" w:color="auto" w:fill="auto"/>
          <w:lang w:val="la-001" w:eastAsia="la-001" w:bidi="la-001"/>
        </w:rPr>
        <w:t xml:space="preserve"> </w:t>
      </w:r>
      <w:r>
        <w:rPr>
          <w:color w:val="5E503C"/>
          <w:spacing w:val="0"/>
          <w:w w:val="100"/>
          <w:position w:val="0"/>
          <w:sz w:val="14"/>
          <w:szCs w:val="14"/>
          <w:shd w:val="clear" w:color="auto" w:fill="auto"/>
          <w:lang w:val="en-US" w:eastAsia="en-US" w:bidi="en-US"/>
        </w:rPr>
        <w:t xml:space="preserve">p. 591—599; Home, Introd. vol. ii. p. 111-196; Hug, </w:t>
      </w:r>
      <w:r>
        <w:rPr>
          <w:i/>
          <w:iCs/>
          <w:color w:val="5E503C"/>
          <w:spacing w:val="0"/>
          <w:w w:val="100"/>
          <w:position w:val="0"/>
          <w:sz w:val="14"/>
          <w:szCs w:val="14"/>
          <w:shd w:val="clear" w:color="auto" w:fill="auto"/>
          <w:lang w:val="en-US" w:eastAsia="en-US" w:bidi="en-US"/>
        </w:rPr>
        <w:t>Einleit.</w:t>
      </w:r>
      <w:r>
        <w:rPr>
          <w:color w:val="5E503C"/>
          <w:spacing w:val="0"/>
          <w:w w:val="100"/>
          <w:position w:val="0"/>
          <w:sz w:val="14"/>
          <w:szCs w:val="14"/>
          <w:shd w:val="clear" w:color="auto" w:fill="auto"/>
          <w:lang w:val="en-US" w:eastAsia="en-US" w:bidi="en-US"/>
        </w:rPr>
        <w:t xml:space="preserve"> [Eng. trans, vol. i.].</w:t>
      </w:r>
    </w:p>
    <w:p>
      <w:pPr>
        <w:pStyle w:val="Style2"/>
        <w:keepNext w:val="0"/>
        <w:keepLines w:val="0"/>
        <w:widowControl w:val="0"/>
        <w:shd w:val="clear" w:color="auto" w:fill="auto"/>
        <w:bidi w:val="0"/>
        <w:spacing w:line="214" w:lineRule="auto"/>
        <w:ind w:left="0" w:firstLine="360"/>
        <w:jc w:val="left"/>
      </w:pPr>
      <w:r>
        <w:rPr>
          <w:smallCaps/>
          <w:color w:val="5E503C"/>
          <w:spacing w:val="0"/>
          <w:w w:val="100"/>
          <w:position w:val="0"/>
          <w:shd w:val="clear" w:color="auto" w:fill="auto"/>
          <w:lang w:val="en-US" w:eastAsia="en-US" w:bidi="en-US"/>
        </w:rPr>
        <w:t>Sect</w:t>
      </w:r>
      <w:r>
        <w:rPr>
          <w:color w:val="5E503C"/>
          <w:spacing w:val="0"/>
          <w:w w:val="100"/>
          <w:position w:val="0"/>
          <w:shd w:val="clear" w:color="auto" w:fill="auto"/>
          <w:lang w:val="en-US" w:eastAsia="en-US" w:bidi="en-US"/>
        </w:rPr>
        <w:t xml:space="preserve"> X.—</w:t>
      </w:r>
      <w:r>
        <w:rPr>
          <w:i/>
          <w:iCs/>
          <w:color w:val="5E503C"/>
          <w:spacing w:val="0"/>
          <w:w w:val="100"/>
          <w:position w:val="0"/>
          <w:shd w:val="clear" w:color="auto" w:fill="auto"/>
          <w:lang w:val="en-US" w:eastAsia="en-US" w:bidi="en-US"/>
        </w:rPr>
        <w:t>Ancient Versions of the Sacred Scriptures.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These may be arranged either with respect to their his</w:t>
        <w:softHyphen/>
        <w:t xml:space="preserve">tory, as </w:t>
      </w:r>
      <w:r>
        <w:rPr>
          <w:i/>
          <w:iCs/>
          <w:color w:val="5E503C"/>
          <w:spacing w:val="0"/>
          <w:w w:val="100"/>
          <w:position w:val="0"/>
          <w:shd w:val="clear" w:color="auto" w:fill="auto"/>
          <w:lang w:val="en-US" w:eastAsia="en-US" w:bidi="en-US"/>
        </w:rPr>
        <w:t>Immediate</w:t>
      </w:r>
      <w:r>
        <w:rPr>
          <w:color w:val="5E503C"/>
          <w:spacing w:val="0"/>
          <w:w w:val="100"/>
          <w:position w:val="0"/>
          <w:shd w:val="clear" w:color="auto" w:fill="auto"/>
          <w:lang w:val="en-US" w:eastAsia="en-US" w:bidi="en-US"/>
        </w:rPr>
        <w:t xml:space="preserve"> and </w:t>
      </w:r>
      <w:r>
        <w:rPr>
          <w:i/>
          <w:iCs/>
          <w:color w:val="5E503C"/>
          <w:spacing w:val="0"/>
          <w:w w:val="100"/>
          <w:position w:val="0"/>
          <w:shd w:val="clear" w:color="auto" w:fill="auto"/>
          <w:lang w:val="en-US" w:eastAsia="en-US" w:bidi="en-US"/>
        </w:rPr>
        <w:t>Mediate,</w:t>
      </w:r>
      <w:r>
        <w:rPr>
          <w:color w:val="5E503C"/>
          <w:spacing w:val="0"/>
          <w:w w:val="100"/>
          <w:position w:val="0"/>
          <w:shd w:val="clear" w:color="auto" w:fill="auto"/>
          <w:lang w:val="en-US" w:eastAsia="en-US" w:bidi="en-US"/>
        </w:rPr>
        <w:t xml:space="preserve"> according as they have been made directly from the originals or from other trans</w:t>
        <w:softHyphen/>
        <w:t>lations ; or with respect to the languages in which they ex</w:t>
        <w:softHyphen/>
        <w:t xml:space="preserve">ist, as </w:t>
      </w:r>
      <w:r>
        <w:rPr>
          <w:i/>
          <w:iCs/>
          <w:color w:val="5E503C"/>
          <w:spacing w:val="0"/>
          <w:w w:val="100"/>
          <w:position w:val="0"/>
          <w:shd w:val="clear" w:color="auto" w:fill="auto"/>
          <w:lang w:val="en-US" w:eastAsia="en-US" w:bidi="en-US"/>
        </w:rPr>
        <w:t>Oriental</w:t>
      </w:r>
      <w:r>
        <w:rPr>
          <w:color w:val="5E503C"/>
          <w:spacing w:val="0"/>
          <w:w w:val="100"/>
          <w:position w:val="0"/>
          <w:shd w:val="clear" w:color="auto" w:fill="auto"/>
          <w:lang w:val="en-US" w:eastAsia="en-US" w:bidi="en-US"/>
        </w:rPr>
        <w:t xml:space="preserve"> and </w:t>
      </w:r>
      <w:r>
        <w:rPr>
          <w:i/>
          <w:iCs/>
          <w:color w:val="5E503C"/>
          <w:spacing w:val="0"/>
          <w:w w:val="100"/>
          <w:position w:val="0"/>
          <w:shd w:val="clear" w:color="auto" w:fill="auto"/>
          <w:lang w:val="en-US" w:eastAsia="en-US" w:bidi="en-US"/>
        </w:rPr>
        <w:t>Occidental.</w:t>
      </w:r>
      <w:r>
        <w:rPr>
          <w:color w:val="5E503C"/>
          <w:spacing w:val="0"/>
          <w:w w:val="100"/>
          <w:position w:val="0"/>
          <w:shd w:val="clear" w:color="auto" w:fill="auto"/>
          <w:lang w:val="en-US" w:eastAsia="en-US" w:bidi="en-US"/>
        </w:rPr>
        <w:t xml:space="preserve"> We shall follow the latter arrangement, as the more convenient ; at the same time intimating, when it is possible, what place each version has in the former.</w:t>
      </w:r>
    </w:p>
    <w:p>
      <w:pPr>
        <w:pStyle w:val="Style2"/>
        <w:keepNext w:val="0"/>
        <w:keepLines w:val="0"/>
        <w:widowControl w:val="0"/>
        <w:shd w:val="clear" w:color="auto" w:fill="auto"/>
        <w:tabs>
          <w:tab w:pos="419" w:val="left"/>
        </w:tabs>
        <w:bidi w:val="0"/>
        <w:spacing w:line="214" w:lineRule="auto"/>
        <w:ind w:left="0" w:firstLine="360"/>
        <w:jc w:val="left"/>
      </w:pPr>
      <w:r>
        <w:rPr>
          <w:color w:val="5E503C"/>
          <w:spacing w:val="0"/>
          <w:w w:val="100"/>
          <w:position w:val="0"/>
          <w:shd w:val="clear" w:color="auto" w:fill="auto"/>
          <w:lang w:val="en-US" w:eastAsia="en-US" w:bidi="en-US"/>
        </w:rPr>
        <w:t>1.</w:t>
        <w:tab/>
      </w:r>
      <w:r>
        <w:rPr>
          <w:b/>
          <w:bCs/>
          <w:color w:val="5E503C"/>
          <w:spacing w:val="0"/>
          <w:w w:val="100"/>
          <w:position w:val="0"/>
          <w:sz w:val="12"/>
          <w:szCs w:val="12"/>
          <w:shd w:val="clear" w:color="auto" w:fill="auto"/>
          <w:lang w:val="en-US" w:eastAsia="en-US" w:bidi="en-US"/>
        </w:rPr>
        <w:t xml:space="preserve">ORIENTAL VERSIONS.—1. </w:t>
      </w:r>
      <w:r>
        <w:rPr>
          <w:i/>
          <w:iCs/>
          <w:color w:val="5E503C"/>
          <w:spacing w:val="0"/>
          <w:w w:val="100"/>
          <w:position w:val="0"/>
          <w:shd w:val="clear" w:color="auto" w:fill="auto"/>
          <w:lang w:val="en-US" w:eastAsia="en-US" w:bidi="en-US"/>
        </w:rPr>
        <w:t>Chaldaic Targums.</w:t>
      </w:r>
      <w:r>
        <w:rPr>
          <w:color w:val="5E503C"/>
          <w:spacing w:val="0"/>
          <w:w w:val="100"/>
          <w:position w:val="0"/>
          <w:shd w:val="clear" w:color="auto" w:fill="auto"/>
          <w:lang w:val="en-US" w:eastAsia="en-US" w:bidi="en-US"/>
        </w:rPr>
        <w:t xml:space="preserve"> After the return of the Jews from Babylon they brought with them so much of the language of </w:t>
      </w:r>
      <w:r>
        <w:rPr>
          <w:color w:val="5E503C"/>
          <w:spacing w:val="0"/>
          <w:w w:val="100"/>
          <w:position w:val="0"/>
          <w:shd w:val="clear" w:color="auto" w:fill="auto"/>
          <w:lang w:val="fr-FR" w:eastAsia="fr-FR" w:bidi="fr-FR"/>
        </w:rPr>
        <w:t xml:space="preserve">Chaldæa, </w:t>
      </w:r>
      <w:r>
        <w:rPr>
          <w:color w:val="5E503C"/>
          <w:spacing w:val="0"/>
          <w:w w:val="100"/>
          <w:position w:val="0"/>
          <w:shd w:val="clear" w:color="auto" w:fill="auto"/>
          <w:lang w:val="en-US" w:eastAsia="en-US" w:bidi="en-US"/>
        </w:rPr>
        <w:t>that they were unable to understand their own Scriptures. Hence arose the necessity of accompanying the reading of these in the synagogues with an interpretation ; a practice first intro</w:t>
        <w:softHyphen/>
        <w:t>duced by Ezra (Nehem, viii. 8), and which continued to be followed as long as the Jewish service was maintained. These interpretations were at first merely oral, and con</w:t>
        <w:softHyphen/>
        <w:t>fined to a literal version of the original into the popular dia</w:t>
        <w:softHyphen/>
        <w:t>lect ; but gradually they became more paraphrastic, and the idea naturally arose of committing the more valuable of them to writing. From this sprung the Chaldaic Targums, or paraphrastic versions of the Hebrew Scriptures. The oldest now extant is that of Onkelos on the Pentateuch, composed according to some in the first, and to others in the third century of the Christian era. It is the least para</w:t>
        <w:softHyphen/>
        <w:t xml:space="preserve">phrastic, and the most correct, of any we possess. Next in point of age and value is that of Jonathan Ben Uzziel on the Prophets. The Jews make him a disciple of Simeon, who took our Lord in his arms ; but the probability is that he was later. His Targum is more diffuse and paraphrastic than that of Onkelos, but contains much that is valuable. Both of these are printed in Walton’s </w:t>
      </w:r>
      <w:r>
        <w:rPr>
          <w:color w:val="5E503C"/>
          <w:spacing w:val="0"/>
          <w:w w:val="100"/>
          <w:position w:val="0"/>
          <w:shd w:val="clear" w:color="auto" w:fill="auto"/>
          <w:lang w:val="de-DE" w:eastAsia="de-DE" w:bidi="de-DE"/>
        </w:rPr>
        <w:t xml:space="preserve">Polyglott. </w:t>
      </w:r>
      <w:r>
        <w:rPr>
          <w:color w:val="5E503C"/>
          <w:spacing w:val="0"/>
          <w:w w:val="100"/>
          <w:position w:val="0"/>
          <w:shd w:val="clear" w:color="auto" w:fill="auto"/>
          <w:lang w:val="en-US" w:eastAsia="en-US" w:bidi="en-US"/>
        </w:rPr>
        <w:t>The re</w:t>
        <w:softHyphen/>
        <w:t>maining Targums, nine in number, are of comparatively recent date, and of little value. Their renderings are very harsh ; and they are filled with idle and foolish fables.</w:t>
      </w:r>
    </w:p>
    <w:p>
      <w:pPr>
        <w:pStyle w:val="Style5"/>
        <w:keepNext w:val="0"/>
        <w:keepLines w:val="0"/>
        <w:widowControl w:val="0"/>
        <w:shd w:val="clear" w:color="auto" w:fill="auto"/>
        <w:bidi w:val="0"/>
        <w:spacing w:line="211" w:lineRule="auto"/>
        <w:ind w:left="0" w:firstLine="360"/>
        <w:jc w:val="left"/>
        <w:rPr>
          <w:sz w:val="14"/>
          <w:szCs w:val="14"/>
        </w:rPr>
      </w:pPr>
      <w:r>
        <w:rPr>
          <w:color w:val="5E503C"/>
          <w:spacing w:val="0"/>
          <w:w w:val="100"/>
          <w:position w:val="0"/>
          <w:sz w:val="14"/>
          <w:szCs w:val="14"/>
          <w:shd w:val="clear" w:color="auto" w:fill="auto"/>
          <w:lang w:val="en-US" w:eastAsia="en-US" w:bidi="en-US"/>
        </w:rPr>
        <w:t xml:space="preserve">Winer </w:t>
      </w:r>
      <w:r>
        <w:rPr>
          <w:i/>
          <w:iCs/>
          <w:color w:val="5E503C"/>
          <w:spacing w:val="0"/>
          <w:w w:val="100"/>
          <w:position w:val="0"/>
          <w:sz w:val="14"/>
          <w:szCs w:val="14"/>
          <w:shd w:val="clear" w:color="auto" w:fill="auto"/>
          <w:lang w:val="de-DE" w:eastAsia="de-DE" w:bidi="de-DE"/>
        </w:rPr>
        <w:t xml:space="preserve">De </w:t>
      </w:r>
      <w:r>
        <w:rPr>
          <w:i/>
          <w:iCs/>
          <w:color w:val="5E503C"/>
          <w:spacing w:val="0"/>
          <w:w w:val="100"/>
          <w:position w:val="0"/>
          <w:sz w:val="14"/>
          <w:szCs w:val="14"/>
          <w:shd w:val="clear" w:color="auto" w:fill="auto"/>
          <w:lang w:val="en-US" w:eastAsia="en-US" w:bidi="en-US"/>
        </w:rPr>
        <w:t xml:space="preserve">Onkeloso ejusnue </w:t>
      </w:r>
      <w:r>
        <w:rPr>
          <w:i/>
          <w:iCs/>
          <w:color w:val="5E503C"/>
          <w:spacing w:val="0"/>
          <w:w w:val="100"/>
          <w:position w:val="0"/>
          <w:sz w:val="14"/>
          <w:szCs w:val="14"/>
          <w:shd w:val="clear" w:color="auto" w:fill="auto"/>
          <w:lang w:val="la-001" w:eastAsia="la-001" w:bidi="la-001"/>
        </w:rPr>
        <w:t>Paraphrasi Chaldaica,</w:t>
      </w:r>
      <w:r>
        <w:rPr>
          <w:color w:val="5E503C"/>
          <w:spacing w:val="0"/>
          <w:w w:val="100"/>
          <w:position w:val="0"/>
          <w:sz w:val="14"/>
          <w:szCs w:val="14"/>
          <w:shd w:val="clear" w:color="auto" w:fill="auto"/>
          <w:lang w:val="la-001" w:eastAsia="la-001" w:bidi="la-001"/>
        </w:rPr>
        <w:t xml:space="preserve"> </w:t>
      </w:r>
      <w:r>
        <w:rPr>
          <w:color w:val="5E503C"/>
          <w:spacing w:val="0"/>
          <w:w w:val="100"/>
          <w:position w:val="0"/>
          <w:sz w:val="14"/>
          <w:szCs w:val="14"/>
          <w:shd w:val="clear" w:color="auto" w:fill="auto"/>
          <w:lang w:val="en-US" w:eastAsia="en-US" w:bidi="en-US"/>
        </w:rPr>
        <w:t xml:space="preserve">Lips. 1820 ; Jahn’s </w:t>
      </w:r>
      <w:r>
        <w:rPr>
          <w:i/>
          <w:iCs/>
          <w:color w:val="5E503C"/>
          <w:spacing w:val="0"/>
          <w:w w:val="100"/>
          <w:position w:val="0"/>
          <w:sz w:val="14"/>
          <w:szCs w:val="14"/>
          <w:shd w:val="clear" w:color="auto" w:fill="auto"/>
          <w:lang w:val="de-DE" w:eastAsia="de-DE" w:bidi="de-DE"/>
        </w:rPr>
        <w:t>Einleitung,</w:t>
      </w:r>
      <w:r>
        <w:rPr>
          <w:color w:val="5E503C"/>
          <w:spacing w:val="0"/>
          <w:w w:val="100"/>
          <w:position w:val="0"/>
          <w:sz w:val="14"/>
          <w:szCs w:val="14"/>
          <w:shd w:val="clear" w:color="auto" w:fill="auto"/>
          <w:lang w:val="de-DE" w:eastAsia="de-DE" w:bidi="de-DE"/>
        </w:rPr>
        <w:t xml:space="preserve"> </w:t>
      </w:r>
      <w:r>
        <w:rPr>
          <w:color w:val="5E503C"/>
          <w:spacing w:val="0"/>
          <w:w w:val="100"/>
          <w:position w:val="0"/>
          <w:sz w:val="14"/>
          <w:szCs w:val="14"/>
          <w:shd w:val="clear" w:color="auto" w:fill="auto"/>
          <w:lang w:val="en-US" w:eastAsia="en-US" w:bidi="en-US"/>
        </w:rPr>
        <w:t xml:space="preserve">i. § 46, 47 -, Bauer, </w:t>
      </w:r>
      <w:r>
        <w:rPr>
          <w:i/>
          <w:iCs/>
          <w:color w:val="5E503C"/>
          <w:spacing w:val="0"/>
          <w:w w:val="100"/>
          <w:position w:val="0"/>
          <w:sz w:val="14"/>
          <w:szCs w:val="14"/>
          <w:shd w:val="clear" w:color="auto" w:fill="auto"/>
          <w:lang w:val="la-001" w:eastAsia="la-001" w:bidi="la-001"/>
        </w:rPr>
        <w:t>Chrestomathia e Paraphrasibus Chaldai</w:t>
        <w:softHyphen/>
        <w:t xml:space="preserve">cis </w:t>
      </w:r>
      <w:r>
        <w:rPr>
          <w:i/>
          <w:iCs/>
          <w:color w:val="5E503C"/>
          <w:spacing w:val="0"/>
          <w:w w:val="100"/>
          <w:position w:val="0"/>
          <w:sz w:val="14"/>
          <w:szCs w:val="14"/>
          <w:shd w:val="clear" w:color="auto" w:fill="auto"/>
          <w:lang w:val="fr-FR" w:eastAsia="fr-FR" w:bidi="fr-FR"/>
        </w:rPr>
        <w:t xml:space="preserve">et </w:t>
      </w:r>
      <w:r>
        <w:rPr>
          <w:i/>
          <w:iCs/>
          <w:color w:val="5E503C"/>
          <w:spacing w:val="0"/>
          <w:w w:val="100"/>
          <w:position w:val="0"/>
          <w:sz w:val="14"/>
          <w:szCs w:val="14"/>
          <w:shd w:val="clear" w:color="auto" w:fill="auto"/>
          <w:lang w:val="en-US" w:eastAsia="en-US" w:bidi="en-US"/>
        </w:rPr>
        <w:t xml:space="preserve">Talmude </w:t>
      </w:r>
      <w:r>
        <w:rPr>
          <w:i/>
          <w:iCs/>
          <w:color w:val="5E503C"/>
          <w:spacing w:val="0"/>
          <w:w w:val="100"/>
          <w:position w:val="0"/>
          <w:sz w:val="14"/>
          <w:szCs w:val="14"/>
          <w:shd w:val="clear" w:color="auto" w:fill="auto"/>
          <w:lang w:val="la-001" w:eastAsia="la-001" w:bidi="la-001"/>
        </w:rPr>
        <w:t>delecta,</w:t>
      </w:r>
      <w:r>
        <w:rPr>
          <w:color w:val="5E503C"/>
          <w:spacing w:val="0"/>
          <w:w w:val="100"/>
          <w:position w:val="0"/>
          <w:sz w:val="14"/>
          <w:szCs w:val="14"/>
          <w:shd w:val="clear" w:color="auto" w:fill="auto"/>
          <w:lang w:val="la-001" w:eastAsia="la-001" w:bidi="la-001"/>
        </w:rPr>
        <w:t xml:space="preserve"> </w:t>
      </w:r>
      <w:r>
        <w:rPr>
          <w:color w:val="5E503C"/>
          <w:spacing w:val="0"/>
          <w:w w:val="100"/>
          <w:position w:val="0"/>
          <w:sz w:val="14"/>
          <w:szCs w:val="14"/>
          <w:shd w:val="clear" w:color="auto" w:fill="auto"/>
          <w:lang w:val="en-US" w:eastAsia="en-US" w:bidi="en-US"/>
        </w:rPr>
        <w:t xml:space="preserve">1792 ; Home, </w:t>
      </w:r>
      <w:r>
        <w:rPr>
          <w:color w:val="5E503C"/>
          <w:spacing w:val="0"/>
          <w:w w:val="100"/>
          <w:position w:val="0"/>
          <w:sz w:val="14"/>
          <w:szCs w:val="14"/>
          <w:shd w:val="clear" w:color="auto" w:fill="auto"/>
          <w:lang w:val="fr-FR" w:eastAsia="fr-FR" w:bidi="fr-FR"/>
        </w:rPr>
        <w:t xml:space="preserve">vol. </w:t>
      </w:r>
      <w:r>
        <w:rPr>
          <w:color w:val="5E503C"/>
          <w:spacing w:val="0"/>
          <w:w w:val="100"/>
          <w:position w:val="0"/>
          <w:sz w:val="14"/>
          <w:szCs w:val="14"/>
          <w:shd w:val="clear" w:color="auto" w:fill="auto"/>
          <w:lang w:val="la-001" w:eastAsia="la-001" w:bidi="la-001"/>
        </w:rPr>
        <w:t xml:space="preserve">ii. p. </w:t>
      </w:r>
      <w:r>
        <w:rPr>
          <w:color w:val="5E503C"/>
          <w:spacing w:val="0"/>
          <w:w w:val="100"/>
          <w:position w:val="0"/>
          <w:sz w:val="14"/>
          <w:szCs w:val="14"/>
          <w:shd w:val="clear" w:color="auto" w:fill="auto"/>
          <w:lang w:val="en-US" w:eastAsia="en-US" w:bidi="en-US"/>
        </w:rPr>
        <w:t>198.</w:t>
      </w:r>
    </w:p>
    <w:p>
      <w:pPr>
        <w:pStyle w:val="Style2"/>
        <w:keepNext w:val="0"/>
        <w:keepLines w:val="0"/>
        <w:widowControl w:val="0"/>
        <w:shd w:val="clear" w:color="auto" w:fill="auto"/>
        <w:tabs>
          <w:tab w:pos="451" w:val="left"/>
        </w:tabs>
        <w:bidi w:val="0"/>
        <w:spacing w:line="211" w:lineRule="auto"/>
        <w:ind w:left="0" w:firstLine="360"/>
        <w:jc w:val="left"/>
      </w:pPr>
      <w:r>
        <w:rPr>
          <w:color w:val="5E503C"/>
          <w:spacing w:val="0"/>
          <w:w w:val="100"/>
          <w:position w:val="0"/>
          <w:shd w:val="clear" w:color="auto" w:fill="auto"/>
          <w:lang w:val="en-US" w:eastAsia="en-US" w:bidi="en-US"/>
        </w:rPr>
        <w:t>2.</w:t>
        <w:tab/>
      </w:r>
      <w:r>
        <w:rPr>
          <w:i/>
          <w:iCs/>
          <w:color w:val="5E503C"/>
          <w:spacing w:val="0"/>
          <w:w w:val="100"/>
          <w:position w:val="0"/>
          <w:shd w:val="clear" w:color="auto" w:fill="auto"/>
          <w:lang w:val="en-US" w:eastAsia="en-US" w:bidi="en-US"/>
        </w:rPr>
        <w:t>Syriac Versions.</w:t>
      </w:r>
      <w:r>
        <w:rPr>
          <w:color w:val="5E503C"/>
          <w:spacing w:val="0"/>
          <w:w w:val="100"/>
          <w:position w:val="0"/>
          <w:shd w:val="clear" w:color="auto" w:fill="auto"/>
          <w:lang w:val="en-US" w:eastAsia="en-US" w:bidi="en-US"/>
        </w:rPr>
        <w:t xml:space="preserve"> Eight versions of the whole or parts of Scripture into the ancient Syriac tongue are known to critics, but of these only two deserve particular notice. These are, 1. </w:t>
      </w:r>
      <w:r>
        <w:rPr>
          <w:i/>
          <w:iCs/>
          <w:color w:val="5E503C"/>
          <w:spacing w:val="0"/>
          <w:w w:val="100"/>
          <w:position w:val="0"/>
          <w:shd w:val="clear" w:color="auto" w:fill="auto"/>
          <w:lang w:val="en-US" w:eastAsia="en-US" w:bidi="en-US"/>
        </w:rPr>
        <w:t>The Peschito,</w:t>
      </w:r>
      <w:r>
        <w:rPr>
          <w:color w:val="5E503C"/>
          <w:spacing w:val="0"/>
          <w:w w:val="100"/>
          <w:position w:val="0"/>
          <w:shd w:val="clear" w:color="auto" w:fill="auto"/>
          <w:lang w:val="en-US" w:eastAsia="en-US" w:bidi="en-US"/>
        </w:rPr>
        <w:t xml:space="preserve"> that is, </w:t>
      </w:r>
      <w:r>
        <w:rPr>
          <w:i/>
          <w:iCs/>
          <w:color w:val="5E503C"/>
          <w:spacing w:val="0"/>
          <w:w w:val="100"/>
          <w:position w:val="0"/>
          <w:shd w:val="clear" w:color="auto" w:fill="auto"/>
          <w:lang w:val="en-US" w:eastAsia="en-US" w:bidi="en-US"/>
        </w:rPr>
        <w:t>right</w:t>
      </w:r>
      <w:r>
        <w:rPr>
          <w:color w:val="5E503C"/>
          <w:spacing w:val="0"/>
          <w:w w:val="100"/>
          <w:position w:val="0"/>
          <w:shd w:val="clear" w:color="auto" w:fill="auto"/>
          <w:lang w:val="en-US" w:eastAsia="en-US" w:bidi="en-US"/>
        </w:rPr>
        <w:t xml:space="preserve"> or </w:t>
      </w:r>
      <w:r>
        <w:rPr>
          <w:i/>
          <w:iCs/>
          <w:color w:val="5E503C"/>
          <w:spacing w:val="0"/>
          <w:w w:val="100"/>
          <w:position w:val="0"/>
          <w:shd w:val="clear" w:color="auto" w:fill="auto"/>
          <w:lang w:val="en-US" w:eastAsia="en-US" w:bidi="en-US"/>
        </w:rPr>
        <w:t>correct,</w:t>
      </w:r>
      <w:r>
        <w:rPr>
          <w:color w:val="5E503C"/>
          <w:spacing w:val="0"/>
          <w:w w:val="100"/>
          <w:position w:val="0"/>
          <w:shd w:val="clear" w:color="auto" w:fill="auto"/>
          <w:lang w:val="en-US" w:eastAsia="en-US" w:bidi="en-US"/>
        </w:rPr>
        <w:t xml:space="preserve"> not later than the third century, probably as early as the second. It contains the whole Bible, is pure in diction and faithful in version, and appears to have been made immediately from the original. 2. </w:t>
      </w:r>
      <w:r>
        <w:rPr>
          <w:i/>
          <w:iCs/>
          <w:color w:val="5E503C"/>
          <w:spacing w:val="0"/>
          <w:w w:val="100"/>
          <w:position w:val="0"/>
          <w:shd w:val="clear" w:color="auto" w:fill="auto"/>
          <w:lang w:val="en-US" w:eastAsia="en-US" w:bidi="en-US"/>
        </w:rPr>
        <w:t>The Philoxenian,</w:t>
      </w:r>
      <w:r>
        <w:rPr>
          <w:color w:val="5E503C"/>
          <w:spacing w:val="0"/>
          <w:w w:val="100"/>
          <w:position w:val="0"/>
          <w:shd w:val="clear" w:color="auto" w:fill="auto"/>
          <w:lang w:val="en-US" w:eastAsia="en-US" w:bidi="en-US"/>
        </w:rPr>
        <w:t xml:space="preserve"> so called from </w:t>
      </w:r>
      <w:r>
        <w:rPr>
          <w:color w:val="5E503C"/>
          <w:spacing w:val="0"/>
          <w:w w:val="100"/>
          <w:position w:val="0"/>
          <w:shd w:val="clear" w:color="auto" w:fill="auto"/>
          <w:lang w:val="la-001" w:eastAsia="la-001" w:bidi="la-001"/>
        </w:rPr>
        <w:t xml:space="preserve">Philoxenus, </w:t>
      </w:r>
      <w:r>
        <w:rPr>
          <w:color w:val="5E503C"/>
          <w:spacing w:val="0"/>
          <w:w w:val="100"/>
          <w:position w:val="0"/>
          <w:shd w:val="clear" w:color="auto" w:fill="auto"/>
          <w:lang w:val="en-US" w:eastAsia="en-US" w:bidi="en-US"/>
        </w:rPr>
        <w:t>bishop of Hierapolis, under whose direction it was executed by Polycarp, rural bishop of the same dis</w:t>
        <w:softHyphen/>
        <w:t xml:space="preserve">trict, </w:t>
      </w:r>
      <w:r>
        <w:rPr>
          <w:smallCaps/>
          <w:color w:val="5E503C"/>
          <w:spacing w:val="0"/>
          <w:w w:val="100"/>
          <w:position w:val="0"/>
          <w:shd w:val="clear" w:color="auto" w:fill="auto"/>
          <w:lang w:val="en-US" w:eastAsia="en-US" w:bidi="en-US"/>
        </w:rPr>
        <w:t>a.</w:t>
      </w:r>
      <w:r>
        <w:rPr>
          <w:color w:val="5E503C"/>
          <w:spacing w:val="0"/>
          <w:w w:val="100"/>
          <w:position w:val="0"/>
          <w:shd w:val="clear" w:color="auto" w:fill="auto"/>
          <w:lang w:val="en-US" w:eastAsia="en-US" w:bidi="en-US"/>
        </w:rPr>
        <w:t xml:space="preserve"> D. 508. It contains only the New Testament, and is literal to servility ; but its renderings are not good. Its chief value is to the critic, in helping him to judge of vari</w:t>
        <w:softHyphen/>
        <w:t>ous readings.</w:t>
      </w:r>
    </w:p>
    <w:p>
      <w:pPr>
        <w:pStyle w:val="Style5"/>
        <w:keepNext w:val="0"/>
        <w:keepLines w:val="0"/>
        <w:widowControl w:val="0"/>
        <w:shd w:val="clear" w:color="auto" w:fill="auto"/>
        <w:bidi w:val="0"/>
        <w:spacing w:line="209" w:lineRule="auto"/>
        <w:ind w:left="0" w:firstLine="360"/>
        <w:jc w:val="left"/>
        <w:rPr>
          <w:sz w:val="14"/>
          <w:szCs w:val="14"/>
        </w:rPr>
      </w:pPr>
      <w:r>
        <w:rPr>
          <w:color w:val="5E503C"/>
          <w:spacing w:val="0"/>
          <w:w w:val="100"/>
          <w:position w:val="0"/>
          <w:sz w:val="14"/>
          <w:szCs w:val="14"/>
          <w:shd w:val="clear" w:color="auto" w:fill="auto"/>
          <w:lang w:val="en-US" w:eastAsia="en-US" w:bidi="en-US"/>
        </w:rPr>
        <w:t xml:space="preserve">Hirzel </w:t>
      </w:r>
      <w:r>
        <w:rPr>
          <w:i/>
          <w:iCs/>
          <w:color w:val="5E503C"/>
          <w:spacing w:val="0"/>
          <w:w w:val="100"/>
          <w:position w:val="0"/>
          <w:sz w:val="14"/>
          <w:szCs w:val="14"/>
          <w:shd w:val="clear" w:color="auto" w:fill="auto"/>
          <w:lang w:val="la-001" w:eastAsia="la-001" w:bidi="la-001"/>
        </w:rPr>
        <w:t xml:space="preserve">De Pentateuchi </w:t>
      </w:r>
      <w:r>
        <w:rPr>
          <w:i/>
          <w:iCs/>
          <w:color w:val="5E503C"/>
          <w:spacing w:val="0"/>
          <w:w w:val="100"/>
          <w:position w:val="0"/>
          <w:sz w:val="14"/>
          <w:szCs w:val="14"/>
          <w:shd w:val="clear" w:color="auto" w:fill="auto"/>
          <w:lang w:val="en-US" w:eastAsia="en-US" w:bidi="en-US"/>
        </w:rPr>
        <w:t>Pers. Syr. indole.</w:t>
      </w:r>
      <w:r>
        <w:rPr>
          <w:color w:val="5E503C"/>
          <w:spacing w:val="0"/>
          <w:w w:val="100"/>
          <w:position w:val="0"/>
          <w:sz w:val="14"/>
          <w:szCs w:val="14"/>
          <w:shd w:val="clear" w:color="auto" w:fill="auto"/>
          <w:lang w:val="en-US" w:eastAsia="en-US" w:bidi="en-US"/>
        </w:rPr>
        <w:t xml:space="preserve"> Lips. 1825 ; </w:t>
      </w:r>
      <w:r>
        <w:rPr>
          <w:color w:val="5E503C"/>
          <w:spacing w:val="0"/>
          <w:w w:val="100"/>
          <w:position w:val="0"/>
          <w:sz w:val="14"/>
          <w:szCs w:val="14"/>
          <w:shd w:val="clear" w:color="auto" w:fill="auto"/>
          <w:lang w:val="de-DE" w:eastAsia="de-DE" w:bidi="de-DE"/>
        </w:rPr>
        <w:t xml:space="preserve">Michaelis, </w:t>
      </w:r>
      <w:r>
        <w:rPr>
          <w:color w:val="5E503C"/>
          <w:spacing w:val="0"/>
          <w:w w:val="100"/>
          <w:position w:val="0"/>
          <w:sz w:val="14"/>
          <w:szCs w:val="14"/>
          <w:shd w:val="clear" w:color="auto" w:fill="auto"/>
          <w:lang w:val="en-US" w:eastAsia="en-US" w:bidi="en-US"/>
        </w:rPr>
        <w:t>In- trod. vol. ii. p. 4-76 ; Horne, vol. ii. p. 220.</w:t>
      </w:r>
    </w:p>
    <w:p>
      <w:pPr>
        <w:pStyle w:val="Style2"/>
        <w:keepNext w:val="0"/>
        <w:keepLines w:val="0"/>
        <w:widowControl w:val="0"/>
        <w:shd w:val="clear" w:color="auto" w:fill="auto"/>
        <w:tabs>
          <w:tab w:pos="451" w:val="left"/>
        </w:tabs>
        <w:bidi w:val="0"/>
        <w:spacing w:line="214" w:lineRule="auto"/>
        <w:ind w:left="0" w:firstLine="360"/>
        <w:jc w:val="left"/>
      </w:pPr>
      <w:r>
        <w:rPr>
          <w:color w:val="5E503C"/>
          <w:spacing w:val="0"/>
          <w:w w:val="100"/>
          <w:position w:val="0"/>
          <w:shd w:val="clear" w:color="auto" w:fill="auto"/>
          <w:lang w:val="en-US" w:eastAsia="en-US" w:bidi="en-US"/>
        </w:rPr>
        <w:t>3.</w:t>
        <w:tab/>
      </w:r>
      <w:r>
        <w:rPr>
          <w:i/>
          <w:iCs/>
          <w:color w:val="5E503C"/>
          <w:spacing w:val="0"/>
          <w:w w:val="100"/>
          <w:position w:val="0"/>
          <w:shd w:val="clear" w:color="auto" w:fill="auto"/>
          <w:lang w:val="en-US" w:eastAsia="en-US" w:bidi="en-US"/>
        </w:rPr>
        <w:t>The Samaritan Pentateuch.</w:t>
      </w:r>
      <w:r>
        <w:rPr>
          <w:color w:val="5E503C"/>
          <w:spacing w:val="0"/>
          <w:w w:val="100"/>
          <w:position w:val="0"/>
          <w:shd w:val="clear" w:color="auto" w:fill="auto"/>
          <w:lang w:val="en-US" w:eastAsia="en-US" w:bidi="en-US"/>
        </w:rPr>
        <w:t xml:space="preserve"> This must not be con</w:t>
        <w:softHyphen/>
        <w:t>founded with “ the Pentateuch of the Samaritans,” which is merely a copy of the original Hebrew in Samaritan cha</w:t>
        <w:softHyphen/>
        <w:t>racters ; whereas the other is a translation of the Hebrew into the Samaritan dialect. This version bears a strong resemblance to the Targum of Onkelos, and even some have deemed it a translation of that. It is probably, how</w:t>
        <w:softHyphen/>
      </w:r>
    </w:p>
    <w:p>
      <w:pPr>
        <w:pStyle w:val="Style2"/>
        <w:keepNext w:val="0"/>
        <w:keepLines w:val="0"/>
        <w:widowControl w:val="0"/>
        <w:shd w:val="clear" w:color="auto" w:fill="auto"/>
        <w:tabs>
          <w:tab w:pos="451" w:val="left"/>
        </w:tabs>
        <w:bidi w:val="0"/>
        <w:spacing w:line="204" w:lineRule="auto"/>
        <w:ind w:left="0" w:firstLine="0"/>
        <w:jc w:val="left"/>
      </w:pPr>
      <w:r>
        <w:rPr>
          <w:color w:val="5E503C"/>
          <w:spacing w:val="0"/>
          <w:w w:val="100"/>
          <w:position w:val="0"/>
          <w:shd w:val="clear" w:color="auto" w:fill="auto"/>
          <w:lang w:val="en-US" w:eastAsia="en-US" w:bidi="en-US"/>
        </w:rPr>
        <w:t>ever, from the original, but cannot be dated earlier than the second century.</w:t>
      </w:r>
    </w:p>
    <w:p>
      <w:pPr>
        <w:pStyle w:val="Style5"/>
        <w:keepNext w:val="0"/>
        <w:keepLines w:val="0"/>
        <w:widowControl w:val="0"/>
        <w:shd w:val="clear" w:color="auto" w:fill="auto"/>
        <w:bidi w:val="0"/>
        <w:ind w:left="0" w:firstLine="360"/>
        <w:jc w:val="left"/>
        <w:rPr>
          <w:sz w:val="14"/>
          <w:szCs w:val="14"/>
        </w:rPr>
      </w:pPr>
      <w:r>
        <w:rPr>
          <w:color w:val="5E503C"/>
          <w:spacing w:val="0"/>
          <w:w w:val="100"/>
          <w:position w:val="0"/>
          <w:sz w:val="14"/>
          <w:szCs w:val="14"/>
          <w:shd w:val="clear" w:color="auto" w:fill="auto"/>
          <w:lang w:val="en-US" w:eastAsia="en-US" w:bidi="en-US"/>
        </w:rPr>
        <w:t xml:space="preserve">Winer </w:t>
      </w:r>
      <w:r>
        <w:rPr>
          <w:i/>
          <w:iCs/>
          <w:color w:val="5E503C"/>
          <w:spacing w:val="0"/>
          <w:w w:val="100"/>
          <w:position w:val="0"/>
          <w:sz w:val="14"/>
          <w:szCs w:val="14"/>
          <w:shd w:val="clear" w:color="auto" w:fill="auto"/>
          <w:lang w:val="de-DE" w:eastAsia="de-DE" w:bidi="de-DE"/>
        </w:rPr>
        <w:t>De</w:t>
      </w:r>
      <w:r>
        <w:rPr>
          <w:color w:val="5E503C"/>
          <w:spacing w:val="0"/>
          <w:w w:val="100"/>
          <w:position w:val="0"/>
          <w:sz w:val="14"/>
          <w:szCs w:val="14"/>
          <w:shd w:val="clear" w:color="auto" w:fill="auto"/>
          <w:lang w:val="de-DE" w:eastAsia="de-DE" w:bidi="de-DE"/>
        </w:rPr>
        <w:t xml:space="preserve"> </w:t>
      </w:r>
      <w:r>
        <w:rPr>
          <w:i/>
          <w:iCs/>
          <w:color w:val="5E503C"/>
          <w:spacing w:val="0"/>
          <w:w w:val="100"/>
          <w:position w:val="0"/>
          <w:sz w:val="14"/>
          <w:szCs w:val="14"/>
          <w:shd w:val="clear" w:color="auto" w:fill="auto"/>
          <w:lang w:val="en-US" w:eastAsia="en-US" w:bidi="en-US"/>
        </w:rPr>
        <w:t>Versionis Pent. Samarit. indole,</w:t>
      </w:r>
      <w:r>
        <w:rPr>
          <w:color w:val="5E503C"/>
          <w:spacing w:val="0"/>
          <w:w w:val="100"/>
          <w:position w:val="0"/>
          <w:sz w:val="14"/>
          <w:szCs w:val="14"/>
          <w:shd w:val="clear" w:color="auto" w:fill="auto"/>
          <w:lang w:val="en-US" w:eastAsia="en-US" w:bidi="en-US"/>
        </w:rPr>
        <w:t xml:space="preserve"> Lips. 1817 ; Horne, ii. p. 42 ; Gesenius </w:t>
      </w:r>
      <w:r>
        <w:rPr>
          <w:i/>
          <w:iCs/>
          <w:color w:val="5E503C"/>
          <w:spacing w:val="0"/>
          <w:w w:val="100"/>
          <w:position w:val="0"/>
          <w:sz w:val="14"/>
          <w:szCs w:val="14"/>
          <w:shd w:val="clear" w:color="auto" w:fill="auto"/>
          <w:lang w:val="de-DE" w:eastAsia="de-DE" w:bidi="de-DE"/>
        </w:rPr>
        <w:t xml:space="preserve">De </w:t>
      </w:r>
      <w:r>
        <w:rPr>
          <w:i/>
          <w:iCs/>
          <w:color w:val="5E503C"/>
          <w:spacing w:val="0"/>
          <w:w w:val="100"/>
          <w:position w:val="0"/>
          <w:sz w:val="14"/>
          <w:szCs w:val="14"/>
          <w:shd w:val="clear" w:color="auto" w:fill="auto"/>
          <w:lang w:val="en-US" w:eastAsia="en-US" w:bidi="en-US"/>
        </w:rPr>
        <w:t xml:space="preserve">Pent. Samarit. </w:t>
      </w:r>
      <w:r>
        <w:rPr>
          <w:i/>
          <w:iCs/>
          <w:color w:val="5E503C"/>
          <w:spacing w:val="0"/>
          <w:w w:val="100"/>
          <w:position w:val="0"/>
          <w:sz w:val="14"/>
          <w:szCs w:val="14"/>
          <w:shd w:val="clear" w:color="auto" w:fill="auto"/>
          <w:lang w:val="fr-FR" w:eastAsia="fr-FR" w:bidi="fr-FR"/>
        </w:rPr>
        <w:t xml:space="preserve">origine, </w:t>
      </w:r>
      <w:r>
        <w:rPr>
          <w:i/>
          <w:iCs/>
          <w:color w:val="5E503C"/>
          <w:spacing w:val="0"/>
          <w:w w:val="100"/>
          <w:position w:val="0"/>
          <w:sz w:val="14"/>
          <w:szCs w:val="14"/>
          <w:shd w:val="clear" w:color="auto" w:fill="auto"/>
          <w:lang w:val="en-US" w:eastAsia="en-US" w:bidi="en-US"/>
        </w:rPr>
        <w:t xml:space="preserve">indole, </w:t>
      </w:r>
      <w:r>
        <w:rPr>
          <w:i/>
          <w:iCs/>
          <w:color w:val="5E503C"/>
          <w:spacing w:val="0"/>
          <w:w w:val="100"/>
          <w:position w:val="0"/>
          <w:sz w:val="14"/>
          <w:szCs w:val="14"/>
          <w:shd w:val="clear" w:color="auto" w:fill="auto"/>
          <w:lang w:val="la-001" w:eastAsia="la-001" w:bidi="la-001"/>
        </w:rPr>
        <w:t>et auctoritate,</w:t>
      </w:r>
      <w:r>
        <w:rPr>
          <w:color w:val="5E503C"/>
          <w:spacing w:val="0"/>
          <w:w w:val="100"/>
          <w:position w:val="0"/>
          <w:sz w:val="14"/>
          <w:szCs w:val="14"/>
          <w:shd w:val="clear" w:color="auto" w:fill="auto"/>
          <w:lang w:val="la-001" w:eastAsia="la-001" w:bidi="la-001"/>
        </w:rPr>
        <w:t xml:space="preserve"> </w:t>
      </w:r>
      <w:r>
        <w:rPr>
          <w:color w:val="5E503C"/>
          <w:spacing w:val="0"/>
          <w:w w:val="100"/>
          <w:position w:val="0"/>
          <w:sz w:val="14"/>
          <w:szCs w:val="14"/>
          <w:shd w:val="clear" w:color="auto" w:fill="auto"/>
          <w:lang w:val="fr-FR" w:eastAsia="fr-FR" w:bidi="fr-FR"/>
        </w:rPr>
        <w:t xml:space="preserve">Halæ, </w:t>
      </w:r>
      <w:r>
        <w:rPr>
          <w:color w:val="5E503C"/>
          <w:spacing w:val="0"/>
          <w:w w:val="100"/>
          <w:position w:val="0"/>
          <w:sz w:val="14"/>
          <w:szCs w:val="14"/>
          <w:shd w:val="clear" w:color="auto" w:fill="auto"/>
          <w:lang w:val="en-US" w:eastAsia="en-US" w:bidi="en-US"/>
        </w:rPr>
        <w:t>1815.</w:t>
      </w:r>
    </w:p>
    <w:p>
      <w:pPr>
        <w:pStyle w:val="Style2"/>
        <w:keepNext w:val="0"/>
        <w:keepLines w:val="0"/>
        <w:widowControl w:val="0"/>
        <w:shd w:val="clear" w:color="auto" w:fill="auto"/>
        <w:tabs>
          <w:tab w:pos="451" w:val="left"/>
        </w:tabs>
        <w:bidi w:val="0"/>
        <w:spacing w:line="211" w:lineRule="auto"/>
        <w:ind w:left="0" w:firstLine="360"/>
        <w:jc w:val="left"/>
      </w:pPr>
      <w:r>
        <w:rPr>
          <w:color w:val="5E503C"/>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ab/>
      </w:r>
      <w:r>
        <w:rPr>
          <w:i/>
          <w:iCs/>
          <w:color w:val="5E503C"/>
          <w:spacing w:val="0"/>
          <w:w w:val="100"/>
          <w:position w:val="0"/>
          <w:shd w:val="clear" w:color="auto" w:fill="auto"/>
          <w:lang w:val="en-US" w:eastAsia="en-US" w:bidi="en-US"/>
        </w:rPr>
        <w:t>Other Oriental Versions.</w:t>
      </w:r>
      <w:r>
        <w:rPr>
          <w:color w:val="5E503C"/>
          <w:spacing w:val="0"/>
          <w:w w:val="100"/>
          <w:position w:val="0"/>
          <w:shd w:val="clear" w:color="auto" w:fill="auto"/>
          <w:lang w:val="en-US" w:eastAsia="en-US" w:bidi="en-US"/>
        </w:rPr>
        <w:t xml:space="preserve"> These are, 1. </w:t>
      </w:r>
      <w:r>
        <w:rPr>
          <w:i/>
          <w:iCs/>
          <w:color w:val="5E503C"/>
          <w:spacing w:val="0"/>
          <w:w w:val="100"/>
          <w:position w:val="0"/>
          <w:shd w:val="clear" w:color="auto" w:fill="auto"/>
          <w:lang w:val="en-US" w:eastAsia="en-US" w:bidi="en-US"/>
        </w:rPr>
        <w:t xml:space="preserve">The Coptic, </w:t>
      </w:r>
      <w:r>
        <w:rPr>
          <w:color w:val="5E503C"/>
          <w:spacing w:val="0"/>
          <w:w w:val="100"/>
          <w:position w:val="0"/>
          <w:shd w:val="clear" w:color="auto" w:fill="auto"/>
          <w:lang w:val="en-US" w:eastAsia="en-US" w:bidi="en-US"/>
        </w:rPr>
        <w:t xml:space="preserve">embracing the </w:t>
      </w:r>
      <w:r>
        <w:rPr>
          <w:i/>
          <w:iCs/>
          <w:color w:val="5E503C"/>
          <w:spacing w:val="0"/>
          <w:w w:val="100"/>
          <w:position w:val="0"/>
          <w:shd w:val="clear" w:color="auto" w:fill="auto"/>
          <w:lang w:val="en-US" w:eastAsia="en-US" w:bidi="en-US"/>
        </w:rPr>
        <w:t>Memphitic,</w:t>
      </w:r>
      <w:r>
        <w:rPr>
          <w:color w:val="5E503C"/>
          <w:spacing w:val="0"/>
          <w:w w:val="100"/>
          <w:position w:val="0"/>
          <w:shd w:val="clear" w:color="auto" w:fill="auto"/>
          <w:lang w:val="en-US" w:eastAsia="en-US" w:bidi="en-US"/>
        </w:rPr>
        <w:t xml:space="preserve"> or that in the dialect of Lower Egypt, probably of the third century, published by Wilkins at Oxford in 1716 ; and the </w:t>
      </w:r>
      <w:r>
        <w:rPr>
          <w:i/>
          <w:iCs/>
          <w:color w:val="5E503C"/>
          <w:spacing w:val="0"/>
          <w:w w:val="100"/>
          <w:position w:val="0"/>
          <w:shd w:val="clear" w:color="auto" w:fill="auto"/>
          <w:lang w:val="en-US" w:eastAsia="en-US" w:bidi="en-US"/>
        </w:rPr>
        <w:t>Sahidic,</w:t>
      </w:r>
      <w:r>
        <w:rPr>
          <w:color w:val="5E503C"/>
          <w:spacing w:val="0"/>
          <w:w w:val="100"/>
          <w:position w:val="0"/>
          <w:shd w:val="clear" w:color="auto" w:fill="auto"/>
          <w:lang w:val="en-US" w:eastAsia="en-US" w:bidi="en-US"/>
        </w:rPr>
        <w:t xml:space="preserve"> or that in the dialect of Upper Egypt, ascribed to the second century, and, with the exception of a part of the Gospel of John, still exist</w:t>
        <w:softHyphen/>
        <w:t xml:space="preserve">ing only in manuscript : 2. </w:t>
      </w:r>
      <w:r>
        <w:rPr>
          <w:i/>
          <w:iCs/>
          <w:color w:val="5E503C"/>
          <w:spacing w:val="0"/>
          <w:w w:val="100"/>
          <w:position w:val="0"/>
          <w:shd w:val="clear" w:color="auto" w:fill="auto"/>
          <w:lang w:val="en-US" w:eastAsia="en-US" w:bidi="en-US"/>
        </w:rPr>
        <w:t>The Ethiopic,</w:t>
      </w:r>
      <w:r>
        <w:rPr>
          <w:color w:val="5E503C"/>
          <w:spacing w:val="0"/>
          <w:w w:val="100"/>
          <w:position w:val="0"/>
          <w:shd w:val="clear" w:color="auto" w:fill="auto"/>
          <w:lang w:val="en-US" w:eastAsia="en-US" w:bidi="en-US"/>
        </w:rPr>
        <w:t xml:space="preserve"> ascribed to the fourth century, and printed in Walton’s </w:t>
      </w:r>
      <w:r>
        <w:rPr>
          <w:color w:val="5E503C"/>
          <w:spacing w:val="0"/>
          <w:w w:val="100"/>
          <w:position w:val="0"/>
          <w:shd w:val="clear" w:color="auto" w:fill="auto"/>
          <w:lang w:val="de-DE" w:eastAsia="de-DE" w:bidi="de-DE"/>
        </w:rPr>
        <w:t xml:space="preserve">Polyglott, </w:t>
      </w:r>
      <w:r>
        <w:rPr>
          <w:color w:val="5E503C"/>
          <w:spacing w:val="0"/>
          <w:w w:val="100"/>
          <w:position w:val="0"/>
          <w:shd w:val="clear" w:color="auto" w:fill="auto"/>
          <w:lang w:val="en-US" w:eastAsia="en-US" w:bidi="en-US"/>
        </w:rPr>
        <w:t xml:space="preserve">but with many inaccuracies : 3. </w:t>
      </w:r>
      <w:r>
        <w:rPr>
          <w:i/>
          <w:iCs/>
          <w:color w:val="5E503C"/>
          <w:spacing w:val="0"/>
          <w:w w:val="100"/>
          <w:position w:val="0"/>
          <w:shd w:val="clear" w:color="auto" w:fill="auto"/>
          <w:lang w:val="en-US" w:eastAsia="en-US" w:bidi="en-US"/>
        </w:rPr>
        <w:t>The Armenian,</w:t>
      </w:r>
      <w:r>
        <w:rPr>
          <w:color w:val="5E503C"/>
          <w:spacing w:val="0"/>
          <w:w w:val="100"/>
          <w:position w:val="0"/>
          <w:shd w:val="clear" w:color="auto" w:fill="auto"/>
          <w:lang w:val="en-US" w:eastAsia="en-US" w:bidi="en-US"/>
        </w:rPr>
        <w:t xml:space="preserve"> made by Miesrob in the beginning of the fifth century, very faithful, but sup</w:t>
        <w:softHyphen/>
        <w:t>posed to be in many places interpolated from the Vulgate :</w:t>
      </w:r>
    </w:p>
    <w:p>
      <w:pPr>
        <w:pStyle w:val="Style2"/>
        <w:keepNext w:val="0"/>
        <w:keepLines w:val="0"/>
        <w:widowControl w:val="0"/>
        <w:shd w:val="clear" w:color="auto" w:fill="auto"/>
        <w:tabs>
          <w:tab w:pos="262" w:val="left"/>
        </w:tabs>
        <w:bidi w:val="0"/>
        <w:spacing w:line="211" w:lineRule="auto"/>
        <w:ind w:left="0" w:firstLine="0"/>
        <w:jc w:val="left"/>
      </w:pPr>
      <w:r>
        <w:rPr>
          <w:color w:val="5E503C"/>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ab/>
      </w:r>
      <w:r>
        <w:rPr>
          <w:i/>
          <w:iCs/>
          <w:color w:val="5E503C"/>
          <w:spacing w:val="0"/>
          <w:w w:val="100"/>
          <w:position w:val="0"/>
          <w:shd w:val="clear" w:color="auto" w:fill="auto"/>
          <w:lang w:val="en-US" w:eastAsia="en-US" w:bidi="en-US"/>
        </w:rPr>
        <w:t>The Arabic,</w:t>
      </w:r>
      <w:r>
        <w:rPr>
          <w:color w:val="5E503C"/>
          <w:spacing w:val="0"/>
          <w:w w:val="100"/>
          <w:position w:val="0"/>
          <w:shd w:val="clear" w:color="auto" w:fill="auto"/>
          <w:lang w:val="en-US" w:eastAsia="en-US" w:bidi="en-US"/>
        </w:rPr>
        <w:t xml:space="preserve"> comprising the Pentateuch, and Isaiah, trans</w:t>
        <w:softHyphen/>
        <w:t>lated by Rabbi Saadias Phijumensis, in the tenth century, the Pentateuch in Samaritan-Arabic by Abusaïd, the ano</w:t>
        <w:softHyphen/>
        <w:t xml:space="preserve">nymous version of Joshua in the London </w:t>
      </w:r>
      <w:r>
        <w:rPr>
          <w:color w:val="5E503C"/>
          <w:spacing w:val="0"/>
          <w:w w:val="100"/>
          <w:position w:val="0"/>
          <w:shd w:val="clear" w:color="auto" w:fill="auto"/>
          <w:lang w:val="de-DE" w:eastAsia="de-DE" w:bidi="de-DE"/>
        </w:rPr>
        <w:t xml:space="preserve">Polyglott, </w:t>
      </w:r>
      <w:r>
        <w:rPr>
          <w:color w:val="5E503C"/>
          <w:spacing w:val="0"/>
          <w:w w:val="100"/>
          <w:position w:val="0"/>
          <w:shd w:val="clear" w:color="auto" w:fill="auto"/>
          <w:lang w:val="en-US" w:eastAsia="en-US" w:bidi="en-US"/>
        </w:rPr>
        <w:t xml:space="preserve">and the Acts and Epistles published by Erpenius : 5. </w:t>
      </w:r>
      <w:r>
        <w:rPr>
          <w:i/>
          <w:iCs/>
          <w:color w:val="5E503C"/>
          <w:spacing w:val="0"/>
          <w:w w:val="100"/>
          <w:position w:val="0"/>
          <w:shd w:val="clear" w:color="auto" w:fill="auto"/>
          <w:lang w:val="en-US" w:eastAsia="en-US" w:bidi="en-US"/>
        </w:rPr>
        <w:t>The Persic</w:t>
      </w:r>
      <w:r>
        <w:rPr>
          <w:color w:val="5E503C"/>
          <w:spacing w:val="0"/>
          <w:w w:val="100"/>
          <w:position w:val="0"/>
          <w:shd w:val="clear" w:color="auto" w:fill="auto"/>
          <w:lang w:val="en-US" w:eastAsia="en-US" w:bidi="en-US"/>
        </w:rPr>
        <w:t xml:space="preserve"> ver</w:t>
        <w:softHyphen/>
        <w:t>sion of the Pentateuch, by Jacob Ben Joseph, surnamed Dawusi, a learned Jew of the ninth century. All these are mediate versions from the Septuagint or Syriac.</w:t>
      </w:r>
    </w:p>
    <w:p>
      <w:pPr>
        <w:pStyle w:val="Style5"/>
        <w:keepNext w:val="0"/>
        <w:keepLines w:val="0"/>
        <w:widowControl w:val="0"/>
        <w:shd w:val="clear" w:color="auto" w:fill="auto"/>
        <w:bidi w:val="0"/>
        <w:ind w:left="0" w:firstLine="360"/>
        <w:jc w:val="left"/>
        <w:rPr>
          <w:sz w:val="14"/>
          <w:szCs w:val="14"/>
        </w:rPr>
      </w:pPr>
      <w:r>
        <w:rPr>
          <w:color w:val="5E503C"/>
          <w:spacing w:val="0"/>
          <w:w w:val="100"/>
          <w:position w:val="0"/>
          <w:sz w:val="14"/>
          <w:szCs w:val="14"/>
          <w:shd w:val="clear" w:color="auto" w:fill="auto"/>
          <w:lang w:val="en-US" w:eastAsia="en-US" w:bidi="en-US"/>
        </w:rPr>
        <w:t xml:space="preserve">Horne, vol. ii. p. 226-234; Comp. Walton, </w:t>
      </w:r>
      <w:r>
        <w:rPr>
          <w:i/>
          <w:iCs/>
          <w:color w:val="5E503C"/>
          <w:spacing w:val="0"/>
          <w:w w:val="100"/>
          <w:position w:val="0"/>
          <w:sz w:val="14"/>
          <w:szCs w:val="14"/>
          <w:shd w:val="clear" w:color="auto" w:fill="auto"/>
          <w:lang w:val="en-US" w:eastAsia="en-US" w:bidi="en-US"/>
        </w:rPr>
        <w:t>Prolegom∙</w:t>
      </w:r>
      <w:r>
        <w:rPr>
          <w:color w:val="5E503C"/>
          <w:spacing w:val="0"/>
          <w:w w:val="100"/>
          <w:position w:val="0"/>
          <w:sz w:val="14"/>
          <w:szCs w:val="14"/>
          <w:shd w:val="clear" w:color="auto" w:fill="auto"/>
          <w:lang w:val="en-US" w:eastAsia="en-US" w:bidi="en-US"/>
        </w:rPr>
        <w:t xml:space="preserve"> ix.-xv.</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II. </w:t>
      </w:r>
      <w:r>
        <w:rPr>
          <w:smallCaps/>
          <w:color w:val="5E503C"/>
          <w:spacing w:val="0"/>
          <w:w w:val="100"/>
          <w:position w:val="0"/>
          <w:shd w:val="clear" w:color="auto" w:fill="auto"/>
          <w:lang w:val="en-US" w:eastAsia="en-US" w:bidi="en-US"/>
        </w:rPr>
        <w:t>Western</w:t>
      </w:r>
      <w:r>
        <w:rPr>
          <w:b/>
          <w:bCs/>
          <w:color w:val="5E503C"/>
          <w:spacing w:val="0"/>
          <w:w w:val="100"/>
          <w:position w:val="0"/>
          <w:sz w:val="12"/>
          <w:szCs w:val="12"/>
          <w:shd w:val="clear" w:color="auto" w:fill="auto"/>
          <w:lang w:val="en-US" w:eastAsia="en-US" w:bidi="en-US"/>
        </w:rPr>
        <w:t xml:space="preserve"> VERSIONS.—</w:t>
      </w:r>
      <w:r>
        <w:rPr>
          <w:color w:val="5E503C"/>
          <w:spacing w:val="0"/>
          <w:w w:val="100"/>
          <w:position w:val="0"/>
          <w:shd w:val="clear" w:color="auto" w:fill="auto"/>
          <w:lang w:val="en-US" w:eastAsia="en-US" w:bidi="en-US"/>
        </w:rPr>
        <w:t xml:space="preserve">1. </w:t>
      </w:r>
      <w:r>
        <w:rPr>
          <w:i/>
          <w:iCs/>
          <w:color w:val="5E503C"/>
          <w:spacing w:val="0"/>
          <w:w w:val="100"/>
          <w:position w:val="0"/>
          <w:shd w:val="clear" w:color="auto" w:fill="auto"/>
          <w:lang w:val="en-US" w:eastAsia="en-US" w:bidi="en-US"/>
        </w:rPr>
        <w:t>Greek Versions of the Old Testament.</w:t>
      </w:r>
      <w:r>
        <w:rPr>
          <w:color w:val="5E503C"/>
          <w:spacing w:val="0"/>
          <w:w w:val="100"/>
          <w:position w:val="0"/>
          <w:shd w:val="clear" w:color="auto" w:fill="auto"/>
          <w:lang w:val="en-US" w:eastAsia="en-US" w:bidi="en-US"/>
        </w:rPr>
        <w:t xml:space="preserve"> The most important of these is the Septuagint, as it is commonly called, or more properly the Alexandrian. Respecting the origin and early history of this version much uncertainty prevails, of which advantage has been taken to clothe the whole in the mist of fable. The common story of Ptolemy </w:t>
      </w:r>
      <w:r>
        <w:rPr>
          <w:color w:val="5E503C"/>
          <w:spacing w:val="0"/>
          <w:w w:val="100"/>
          <w:position w:val="0"/>
          <w:shd w:val="clear" w:color="auto" w:fill="auto"/>
          <w:lang w:val="la-001" w:eastAsia="la-001" w:bidi="la-001"/>
        </w:rPr>
        <w:t xml:space="preserve">Philadelphus </w:t>
      </w:r>
      <w:r>
        <w:rPr>
          <w:color w:val="5E503C"/>
          <w:spacing w:val="0"/>
          <w:w w:val="100"/>
          <w:position w:val="0"/>
          <w:shd w:val="clear" w:color="auto" w:fill="auto"/>
          <w:lang w:val="en-US" w:eastAsia="en-US" w:bidi="en-US"/>
        </w:rPr>
        <w:t xml:space="preserve">having sent, at the instigation of his librarian Demetrius </w:t>
      </w:r>
      <w:r>
        <w:rPr>
          <w:color w:val="5E503C"/>
          <w:spacing w:val="0"/>
          <w:w w:val="100"/>
          <w:position w:val="0"/>
          <w:shd w:val="clear" w:color="auto" w:fill="auto"/>
          <w:lang w:val="la-001" w:eastAsia="la-001" w:bidi="la-001"/>
        </w:rPr>
        <w:t xml:space="preserve">Phalereus, </w:t>
      </w:r>
      <w:r>
        <w:rPr>
          <w:color w:val="5E503C"/>
          <w:spacing w:val="0"/>
          <w:w w:val="100"/>
          <w:position w:val="0"/>
          <w:shd w:val="clear" w:color="auto" w:fill="auto"/>
          <w:lang w:val="en-US" w:eastAsia="en-US" w:bidi="en-US"/>
        </w:rPr>
        <w:t xml:space="preserve">to </w:t>
      </w:r>
      <w:r>
        <w:rPr>
          <w:color w:val="5E503C"/>
          <w:spacing w:val="0"/>
          <w:w w:val="100"/>
          <w:position w:val="0"/>
          <w:shd w:val="clear" w:color="auto" w:fill="auto"/>
          <w:lang w:val="fr-FR" w:eastAsia="fr-FR" w:bidi="fr-FR"/>
        </w:rPr>
        <w:t xml:space="preserve">Judæa </w:t>
      </w:r>
      <w:r>
        <w:rPr>
          <w:color w:val="5E503C"/>
          <w:spacing w:val="0"/>
          <w:w w:val="100"/>
          <w:position w:val="0"/>
          <w:shd w:val="clear" w:color="auto" w:fill="auto"/>
          <w:lang w:val="en-US" w:eastAsia="en-US" w:bidi="en-US"/>
        </w:rPr>
        <w:t>for a correct copy of the Hebrew Scriptures, and for seventy-two men of learning (six out of each of the twelve tribes) to trans</w:t>
        <w:softHyphen/>
        <w:t xml:space="preserve">late these into Greek, of his having shut them up in the Isle of Pharos, apart from each other, and of their having produced versions </w:t>
      </w:r>
      <w:r>
        <w:rPr>
          <w:i/>
          <w:iCs/>
          <w:color w:val="5E503C"/>
          <w:spacing w:val="0"/>
          <w:w w:val="100"/>
          <w:position w:val="0"/>
          <w:shd w:val="clear" w:color="auto" w:fill="auto"/>
          <w:lang w:val="en-US" w:eastAsia="en-US" w:bidi="en-US"/>
        </w:rPr>
        <w:t xml:space="preserve">verbatim </w:t>
      </w:r>
      <w:r>
        <w:rPr>
          <w:i/>
          <w:iCs/>
          <w:color w:val="5E503C"/>
          <w:spacing w:val="0"/>
          <w:w w:val="100"/>
          <w:position w:val="0"/>
          <w:shd w:val="clear" w:color="auto" w:fill="auto"/>
          <w:lang w:val="fr-FR" w:eastAsia="fr-FR" w:bidi="fr-FR"/>
        </w:rPr>
        <w:t xml:space="preserve">et </w:t>
      </w:r>
      <w:r>
        <w:rPr>
          <w:i/>
          <w:iCs/>
          <w:color w:val="5E503C"/>
          <w:spacing w:val="0"/>
          <w:w w:val="100"/>
          <w:position w:val="0"/>
          <w:shd w:val="clear" w:color="auto" w:fill="auto"/>
          <w:lang w:val="en-US" w:eastAsia="en-US" w:bidi="en-US"/>
        </w:rPr>
        <w:t>literatim</w:t>
      </w:r>
      <w:r>
        <w:rPr>
          <w:color w:val="5E503C"/>
          <w:spacing w:val="0"/>
          <w:w w:val="100"/>
          <w:position w:val="0"/>
          <w:shd w:val="clear" w:color="auto" w:fill="auto"/>
          <w:lang w:val="en-US" w:eastAsia="en-US" w:bidi="en-US"/>
        </w:rPr>
        <w:t xml:space="preserve"> the same, is now rejected by all scholars. The opinion commonly held by such embraces the following points : </w:t>
      </w:r>
      <w:r>
        <w:rPr>
          <w:i/>
          <w:iCs/>
          <w:color w:val="5E503C"/>
          <w:spacing w:val="0"/>
          <w:w w:val="100"/>
          <w:position w:val="0"/>
          <w:shd w:val="clear" w:color="auto" w:fill="auto"/>
          <w:lang w:val="en-US" w:eastAsia="en-US" w:bidi="en-US"/>
        </w:rPr>
        <w:t>1st,</w:t>
      </w:r>
      <w:r>
        <w:rPr>
          <w:color w:val="5E503C"/>
          <w:spacing w:val="0"/>
          <w:w w:val="100"/>
          <w:position w:val="0"/>
          <w:shd w:val="clear" w:color="auto" w:fill="auto"/>
          <w:lang w:val="en-US" w:eastAsia="en-US" w:bidi="en-US"/>
        </w:rPr>
        <w:t xml:space="preserve"> That it is high</w:t>
        <w:softHyphen/>
        <w:t>ly probable that the work was commenced during the pe</w:t>
        <w:softHyphen/>
        <w:t xml:space="preserve">riod when Ptolemy </w:t>
      </w:r>
      <w:r>
        <w:rPr>
          <w:color w:val="5E503C"/>
          <w:spacing w:val="0"/>
          <w:w w:val="100"/>
          <w:position w:val="0"/>
          <w:shd w:val="clear" w:color="auto" w:fill="auto"/>
          <w:lang w:val="la-001" w:eastAsia="la-001" w:bidi="la-001"/>
        </w:rPr>
        <w:t xml:space="preserve">Lagus </w:t>
      </w:r>
      <w:r>
        <w:rPr>
          <w:color w:val="5E503C"/>
          <w:spacing w:val="0"/>
          <w:w w:val="100"/>
          <w:position w:val="0"/>
          <w:shd w:val="clear" w:color="auto" w:fill="auto"/>
          <w:lang w:val="en-US" w:eastAsia="en-US" w:bidi="en-US"/>
        </w:rPr>
        <w:t xml:space="preserve">and his son </w:t>
      </w:r>
      <w:r>
        <w:rPr>
          <w:color w:val="5E503C"/>
          <w:spacing w:val="0"/>
          <w:w w:val="100"/>
          <w:position w:val="0"/>
          <w:shd w:val="clear" w:color="auto" w:fill="auto"/>
          <w:lang w:val="la-001" w:eastAsia="la-001" w:bidi="la-001"/>
        </w:rPr>
        <w:t xml:space="preserve">Philadelphus </w:t>
      </w:r>
      <w:r>
        <w:rPr>
          <w:color w:val="5E503C"/>
          <w:spacing w:val="0"/>
          <w:w w:val="100"/>
          <w:position w:val="0"/>
          <w:shd w:val="clear" w:color="auto" w:fill="auto"/>
          <w:lang w:val="en-US" w:eastAsia="en-US" w:bidi="en-US"/>
        </w:rPr>
        <w:t xml:space="preserve">held the joint sovereignty ; </w:t>
      </w:r>
      <w:r>
        <w:rPr>
          <w:i/>
          <w:iCs/>
          <w:color w:val="5E503C"/>
          <w:spacing w:val="0"/>
          <w:w w:val="100"/>
          <w:position w:val="0"/>
          <w:shd w:val="clear" w:color="auto" w:fill="auto"/>
          <w:lang w:val="en-US" w:eastAsia="en-US" w:bidi="en-US"/>
        </w:rPr>
        <w:t>2d,</w:t>
      </w:r>
      <w:r>
        <w:rPr>
          <w:color w:val="5E503C"/>
          <w:spacing w:val="0"/>
          <w:w w:val="100"/>
          <w:position w:val="0"/>
          <w:shd w:val="clear" w:color="auto" w:fill="auto"/>
          <w:lang w:val="en-US" w:eastAsia="en-US" w:bidi="en-US"/>
        </w:rPr>
        <w:t xml:space="preserve"> that the motive prompting to it was the multitude of Jews in Alexandria and throughout Egypt, who were ignorant of Hebrew, and needed the Scrip</w:t>
        <w:softHyphen/>
        <w:t xml:space="preserve">tures in Greek ; </w:t>
      </w:r>
      <w:r>
        <w:rPr>
          <w:i/>
          <w:iCs/>
          <w:color w:val="5E503C"/>
          <w:spacing w:val="0"/>
          <w:w w:val="100"/>
          <w:position w:val="0"/>
          <w:shd w:val="clear" w:color="auto" w:fill="auto"/>
          <w:lang w:val="en-US" w:eastAsia="en-US" w:bidi="en-US"/>
        </w:rPr>
        <w:t>3d,</w:t>
      </w:r>
      <w:r>
        <w:rPr>
          <w:color w:val="5E503C"/>
          <w:spacing w:val="0"/>
          <w:w w:val="100"/>
          <w:position w:val="0"/>
          <w:shd w:val="clear" w:color="auto" w:fill="auto"/>
          <w:lang w:val="en-US" w:eastAsia="en-US" w:bidi="en-US"/>
        </w:rPr>
        <w:t xml:space="preserve"> that it was undertaken under the aus</w:t>
        <w:softHyphen/>
        <w:t xml:space="preserve">pices of the Alexandrian Sanhedrin or council of the Jews, who probably consulted their brethren in </w:t>
      </w:r>
      <w:r>
        <w:rPr>
          <w:color w:val="5E503C"/>
          <w:spacing w:val="0"/>
          <w:w w:val="100"/>
          <w:position w:val="0"/>
          <w:shd w:val="clear" w:color="auto" w:fill="auto"/>
          <w:lang w:val="fr-FR" w:eastAsia="fr-FR" w:bidi="fr-FR"/>
        </w:rPr>
        <w:t xml:space="preserve">Judæa </w:t>
      </w:r>
      <w:r>
        <w:rPr>
          <w:color w:val="5E503C"/>
          <w:spacing w:val="0"/>
          <w:w w:val="100"/>
          <w:position w:val="0"/>
          <w:shd w:val="clear" w:color="auto" w:fill="auto"/>
          <w:lang w:val="en-US" w:eastAsia="en-US" w:bidi="en-US"/>
        </w:rPr>
        <w:t>about it, and from whom, being seventy-two in number, in all like</w:t>
        <w:softHyphen/>
        <w:t>lihood the version took its name ; 4</w:t>
      </w:r>
      <w:r>
        <w:rPr>
          <w:i/>
          <w:iCs/>
          <w:color w:val="5E503C"/>
          <w:spacing w:val="0"/>
          <w:w w:val="100"/>
          <w:position w:val="0"/>
          <w:shd w:val="clear" w:color="auto" w:fill="auto"/>
          <w:lang w:val="en-US" w:eastAsia="en-US" w:bidi="en-US"/>
        </w:rPr>
        <w:t>th</w:t>
      </w:r>
      <w:r>
        <w:rPr>
          <w:color w:val="5E503C"/>
          <w:spacing w:val="0"/>
          <w:w w:val="100"/>
          <w:position w:val="0"/>
          <w:shd w:val="clear" w:color="auto" w:fill="auto"/>
          <w:lang w:val="en-US" w:eastAsia="en-US" w:bidi="en-US"/>
        </w:rPr>
        <w:t>, that the different books were executed at different times and by different persons, as is evident from the varieties in point of accu</w:t>
        <w:softHyphen/>
        <w:t xml:space="preserve">racy and purity which they present, the Pentateuch being that first executed ; and, </w:t>
      </w:r>
      <w:r>
        <w:rPr>
          <w:i/>
          <w:iCs/>
          <w:color w:val="5E503C"/>
          <w:spacing w:val="0"/>
          <w:w w:val="100"/>
          <w:position w:val="0"/>
          <w:shd w:val="clear" w:color="auto" w:fill="auto"/>
          <w:lang w:val="en-US" w:eastAsia="en-US" w:bidi="en-US"/>
        </w:rPr>
        <w:t>5th,</w:t>
      </w:r>
      <w:r>
        <w:rPr>
          <w:color w:val="5E503C"/>
          <w:spacing w:val="0"/>
          <w:w w:val="100"/>
          <w:position w:val="0"/>
          <w:shd w:val="clear" w:color="auto" w:fill="auto"/>
          <w:lang w:val="en-US" w:eastAsia="en-US" w:bidi="en-US"/>
        </w:rPr>
        <w:t xml:space="preserve"> that the translators of the Pentateuch were evidently Egyptian Jews, from their in</w:t>
        <w:softHyphen/>
        <w:t>troducing into their version many Coptic words, and ren</w:t>
        <w:softHyphen/>
        <w:t>dering many Hebrew expressions, not into their Greek equivalents, but so as to give an Egyptian hue to the idea. The version thus executed soon acquired great vogue, not only in Egypt, but also in Palestine, where, in the days of our Lord and his apostles, it had mostly superseded the use of the original Hebrew. In the Christian church it ac</w:t>
        <w:softHyphen/>
        <w:t>quired the same reputation. Few of the Fathers under</w:t>
        <w:softHyphen/>
        <w:t xml:space="preserve">stood Hebrew, and consequently almost all their quotations from the Old Testament are made through the medium of the Septuagint. The best editions of this version are those of </w:t>
      </w:r>
      <w:r>
        <w:rPr>
          <w:color w:val="5E503C"/>
          <w:spacing w:val="0"/>
          <w:w w:val="100"/>
          <w:position w:val="0"/>
          <w:shd w:val="clear" w:color="auto" w:fill="auto"/>
          <w:lang w:val="de-DE" w:eastAsia="de-DE" w:bidi="de-DE"/>
        </w:rPr>
        <w:t xml:space="preserve">Grabe, </w:t>
      </w:r>
      <w:r>
        <w:rPr>
          <w:color w:val="5E503C"/>
          <w:spacing w:val="0"/>
          <w:w w:val="100"/>
          <w:position w:val="0"/>
          <w:shd w:val="clear" w:color="auto" w:fill="auto"/>
          <w:lang w:val="en-US" w:eastAsia="en-US" w:bidi="en-US"/>
        </w:rPr>
        <w:t xml:space="preserve">Oxon. 1707, 1709, 1719, 1720, four </w:t>
      </w:r>
      <w:r>
        <w:rPr>
          <w:color w:val="5E503C"/>
          <w:spacing w:val="0"/>
          <w:w w:val="100"/>
          <w:position w:val="0"/>
          <w:shd w:val="clear" w:color="auto" w:fill="auto"/>
          <w:lang w:val="fr-FR" w:eastAsia="fr-FR" w:bidi="fr-FR"/>
        </w:rPr>
        <w:t xml:space="preserve">vols. </w:t>
      </w:r>
      <w:r>
        <w:rPr>
          <w:color w:val="5E503C"/>
          <w:spacing w:val="0"/>
          <w:w w:val="100"/>
          <w:position w:val="0"/>
          <w:shd w:val="clear" w:color="auto" w:fill="auto"/>
          <w:lang w:val="en-US" w:eastAsia="en-US" w:bidi="en-US"/>
        </w:rPr>
        <w:t xml:space="preserve">folio and eight </w:t>
      </w:r>
      <w:r>
        <w:rPr>
          <w:color w:val="5E503C"/>
          <w:spacing w:val="0"/>
          <w:w w:val="100"/>
          <w:position w:val="0"/>
          <w:shd w:val="clear" w:color="auto" w:fill="auto"/>
          <w:lang w:val="fr-FR" w:eastAsia="fr-FR" w:bidi="fr-FR"/>
        </w:rPr>
        <w:t xml:space="preserve">vols. </w:t>
      </w:r>
      <w:r>
        <w:rPr>
          <w:color w:val="5E503C"/>
          <w:spacing w:val="0"/>
          <w:w w:val="100"/>
          <w:position w:val="0"/>
          <w:shd w:val="clear" w:color="auto" w:fill="auto"/>
          <w:lang w:val="en-US" w:eastAsia="en-US" w:bidi="en-US"/>
        </w:rPr>
        <w:t>8vo, reprinted with the addition of various read</w:t>
        <w:softHyphen/>
        <w:t xml:space="preserve">ings from the Vatican manuscript by Breitinger, Tiguri Helvet., 1730-31-32, four </w:t>
      </w:r>
      <w:r>
        <w:rPr>
          <w:color w:val="5E503C"/>
          <w:spacing w:val="0"/>
          <w:w w:val="100"/>
          <w:position w:val="0"/>
          <w:shd w:val="clear" w:color="auto" w:fill="auto"/>
          <w:lang w:val="fr-FR" w:eastAsia="fr-FR" w:bidi="fr-FR"/>
        </w:rPr>
        <w:t xml:space="preserve">vols. </w:t>
      </w:r>
      <w:r>
        <w:rPr>
          <w:color w:val="5E503C"/>
          <w:spacing w:val="0"/>
          <w:w w:val="100"/>
          <w:position w:val="0"/>
          <w:shd w:val="clear" w:color="auto" w:fill="auto"/>
          <w:lang w:val="en-US" w:eastAsia="en-US" w:bidi="en-US"/>
        </w:rPr>
        <w:t xml:space="preserve">4to ; of Bos, </w:t>
      </w:r>
      <w:r>
        <w:rPr>
          <w:color w:val="5E503C"/>
          <w:spacing w:val="0"/>
          <w:w w:val="100"/>
          <w:position w:val="0"/>
          <w:shd w:val="clear" w:color="auto" w:fill="auto"/>
          <w:lang w:val="fr-FR" w:eastAsia="fr-FR" w:bidi="fr-FR"/>
        </w:rPr>
        <w:t>Franequeræ,</w:t>
      </w:r>
    </w:p>
    <w:sectPr>
      <w:footnotePr>
        <w:pos w:val="pageBottom"/>
        <w:numFmt w:val="decimal"/>
        <w:numRestart w:val="continuous"/>
      </w:footnotePr>
      <w:pgSz w:w="12240" w:h="15840"/>
      <w:pgMar w:top="1723" w:left="1862" w:right="1725" w:bottom="12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4A3F32"/>
      <w:sz w:val="15"/>
      <w:szCs w:val="15"/>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5">
    <w:name w:val="Body text (4)"/>
    <w:basedOn w:val="Normal"/>
    <w:link w:val="CharStyle6"/>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