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narrowly escaped being burnt to death by the treachery of his brother, who was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Danaus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Greece. He brought home a large body of captives, whom he employed in the erection of public works, and more particularly in construct</w:t>
        <w:softHyphen/>
        <w:t xml:space="preserve">ing canals. He erected two statues representing himself and his wife before the temple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Hephæstos,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which were forty-five feet high ; and four representing his sons, which were thirty feet high. At his death he was succeeded by his son Pheros.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SESQUI,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Latin particle, signifying a whole and a half. When joined with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altera,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terza, quarta,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&amp;c.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is much used in the Italian music to express a kind of ratios, particularly several species of triples.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SESQUIALTER,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Music,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ratio of 3 : 2 in the nu</w:t>
        <w:softHyphen/>
        <w:t xml:space="preserve">merical calculation of musical intervals. This, and many other old pedantic terms, such as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super-particular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super- partient,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&amp;c., employed to express ratios very simple, and easily intelligible under other terms, had better be aban</w:t>
        <w:softHyphen/>
        <w:t>doned entirely in musical nomenclature, which has long been overloaded with such jargon.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Sesqui-alterate,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Geometry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Arithmetic,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a ratio between two lines, two numbers, or the like, where one of them contains the other once, with the addition of a half.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Thus 6 and 9 are in a sesqui-alterate ratio, since 9 con</w:t>
        <w:softHyphen/>
        <w:t>tains 6 once, and 3, which is half of 6, over ; and 20 and 30 are in the same, as 30 contains 20 and half 20, or 10.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Sesqui-Duplicate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Ratio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when of two terms the greater contains the less twice, and half the less remains ; as 15 and 6, 50 and 20.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69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Sesqui-Tertional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Proportion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when any number or quantity contains another once and one third.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SESSION, in general, denotes each sitting or assembly of a council, or other body.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SesskjN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 Parliament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season or space from its meeting to its prorogation.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Kirk-</w:t>
      </w:r>
      <w:r>
        <w:rPr>
          <w:i/>
          <w:iCs/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Session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name of a petty ecclesiastical court in Scotland.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Sessions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weights and measures. In London, four justices, from among the mayor, recorder, and aldermen, may hold a session to inquire into the offences of selling by false weights and measures, contrary to the statutes ; and to receive indictments and punish offenders.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Court of </w:t>
      </w:r>
      <w:r>
        <w:rPr>
          <w:i/>
          <w:iCs/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Session.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Scotland.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court of Quarter-</w:t>
      </w:r>
      <w:r>
        <w:rPr>
          <w:i/>
          <w:iCs/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Sessions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English court that must be held in every county once in every quarter of a year.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28" w:val="left"/>
        </w:tabs>
        <w:bidi w:val="0"/>
        <w:spacing w:line="23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SESTERCE,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Sestertius,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silver coin in use among the ancient Romans, called also simply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nummus,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some</w:t>
        <w:softHyphen/>
        <w:t xml:space="preserve">times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nummus sestertius.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sestertius was the fourth part of the denarius, and originally contained two asses and a half. It was at first denoted by LLS, the two Ls signi</w:t>
        <w:softHyphen/>
        <w:t xml:space="preserve">fying two librte, and the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half. But the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librarii,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after</w:t>
        <w:softHyphen/>
        <w:t>wards converting the two Ls into an H, expressed the ses</w:t>
        <w:softHyphen/>
        <w:t xml:space="preserve">tertius by HS. The word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sestertius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first introduced by way of abbreviation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semistertius,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signifies two and a half of a third,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qr,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literally, only half a third ; for in ex</w:t>
        <w:softHyphen/>
        <w:t>pressing half a third it was understood that there were two before.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Some authors make two kinds of sesterces, the less, call</w:t>
        <w:softHyphen/>
        <w:t xml:space="preserve">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sestertius,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masculine gender, and the great one, called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sestertium,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neuter ; the former we have already described, the latter containing a thousand of the other. Others maintain that any such distinction of great and little sesterces was unknown to the Romans.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Sestertius,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say they, was an adjective, and signified,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 sestertius,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two asses and a half; and when used in the plural, as in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quinqua</w:t>
        <w:softHyphen/>
        <w:t>ginta sestertium,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sestertia,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was only by way of abbre</w:t>
        <w:softHyphen/>
        <w:t xml:space="preserve">viation, and there was also understood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centena millia,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matter has been accurately stated by Mr Raper, in the following manner. The substantive to which sestertius referred is either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or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pondus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sestertius as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two asses and a half ;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sestertium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pondus,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two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pondera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a half,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or two hundred and fifty denarii. When the denarius pass</w:t>
        <w:softHyphen/>
        <w:t>ed for ten asses, the sestertius of two asses and a half was the quarter of it ; and the Romans continued to keep their accounts in these sesterces long after the denarius passed for sixteen asses, till, growing rich, they found it more con</w:t>
        <w:softHyphen/>
        <w:t xml:space="preserve">venient to reckon by quarters of the denarius, which they called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nummi,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used the words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nummus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sestertius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indifferently, as synonymous terms, and sometimes both together, as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sestertius nummus.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this case the word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ses</w:t>
        <w:softHyphen/>
        <w:t>tertius,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having lost its original signification, was used as a substantive ; for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sestertius nummus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not two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nummi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a half, but a single nummus of four asses. They called any sum under two thousand sesterces so many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sestertii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masculine gender ; two thousand sesterces they called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duo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bina sestertia,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the neuter, so many quarters mak</w:t>
        <w:softHyphen/>
        <w:t xml:space="preserve">ing five hundred denarii, which was twice the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sestertium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and they said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dena, vicena, &amp;c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sestertia,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till the sum amounted to a thousand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sestertia,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was a million of sesterces. But, to avoid ambiguity, they did not use the neuter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sestertium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singular number when the whole sum amounted to no more than a thousand sesterces, or one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sestertium.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They called a million of sesterces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decies num</w:t>
        <w:softHyphen/>
        <w:t>mum,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decies sestertium,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decies centena millia nummo</w:t>
        <w:softHyphen/>
        <w:t xml:space="preserve">rum,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sestertiorum,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masculine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gender, omitting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centena millia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for the sake of brevity. They likewise call</w:t>
        <w:softHyphen/>
        <w:t xml:space="preserve">ed the same sum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decies sestertium,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neuter gender, for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decies centies sestertium,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omitting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centies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for the same rea</w:t>
        <w:softHyphen/>
        <w:t xml:space="preserve">son ; or simply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decies,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omitting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centena millia sestertium,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centies sestertium ;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with the numeral adverbs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decies,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vicies, centies,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millies,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like, either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centena mil</w:t>
        <w:softHyphen/>
        <w:t>lia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centies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always understood. These were their most usual forms of expression, though for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bina, dena, vi</w:t>
        <w:softHyphen/>
        <w:t>cena sestertia,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they frequently said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bina, dena, vicena millia nummum.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 the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consular denarius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contained sixty troy grains of fine silver, it was worth something more than eightpence farthing and a half sterling ; and the as, of six</w:t>
        <w:softHyphen/>
        <w:t>teen to the denarius, a little more than a halfpenny. To reduce the ancient sesterces of two asses and a half, when the denarius passed for sixteen, to pounds sterling, multi</w:t>
        <w:softHyphen/>
        <w:t xml:space="preserve">ply the given number by 5454, and cut off six figures on the right hand for decimals. To reduce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nurnmi sestertii,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quarters of the denarius, to pounds sterling ; if the given sum be consular money, multiply it by 8727, and cut off six figures on the right hand for decimals ; but for imperial money diminish the said product by one eighth of itself. To be qualified for a Roman knight, an estate of 400,000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sesterces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required ; and for a senator, one of 800,000.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SESTET, Italian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Sestetto,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piece of vocal or instru</w:t>
        <w:softHyphen/>
        <w:t>mental music for six voices or six instruments.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SESTOS,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fortress of European Turkey, situated at the entrance of the Hellespont or Dardanelles, twenty-four miles south-west of Gallipoli. This place is famous for the loves of Hero and Leander, sung by the poet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Musæus.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SET, or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Sets,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term used by the farmers and gardeners to express the young plants of the white thorn and other shrubs, with which they used to raise their quick or quick- set hedges. The white thorn is the best of all trees for this purpose ; and, under proper regulations, its sets seldom fail to answer the farmer’s utmost expectations.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SETCHEOU, a city of China, of the first rank, in the province of Koeitchoo. The inhabitants are extremely rude and ignorant. Long. 108. E. Lat. 27. 10. 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SETCHING, a city of China, of the first rank, in the province of Quangsee, bordering on Yunan. Long. 105. 54. E. Lat. 24. 17. 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SETCHUEN, a province of China, on the western fron</w:t>
        <w:softHyphen/>
        <w:t>tier. It has on the north Chen-si, on the east and south Houquang and Yunan, and on the west Thibet. It is mountainous, but is fertilized by the great river Yang-tse- kiang. It produces the sugar-cane, silk, orange and lemon trees, and the best rhubarb in China ; while in the moan-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776" w:left="1612" w:right="2213" w:bottom="166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220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