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247"/>
        <w:gridCol w:w="117"/>
        <w:gridCol w:w="534"/>
        <w:gridCol w:w="624"/>
        <w:gridCol w:w="1283"/>
        <w:gridCol w:w="1279"/>
        <w:gridCol w:w="1279"/>
        <w:gridCol w:w="1270"/>
        <w:gridCol w:w="1184"/>
        <w:gridCol w:w="1193"/>
        <w:gridCol w:w="1184"/>
        <w:gridCol w:w="1108"/>
      </w:tblGrid>
      <w:tr>
        <w:trPr>
          <w:trHeight w:val="26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First futtock heads, to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English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light water-mark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J oak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Live &gt;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 Red pine 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East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incita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teaκ Red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 xml:space="preserve">cadar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Foreign white oak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Pitch pine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American rock elm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Yellow pine Black birch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White spruce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South Aτnerk an or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New South Wales hard wood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Light water-mark to w∙lcs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English^ African J∙oak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Adriatic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5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Live 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India teak Morung saul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Spanish &gt;oak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. French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South American or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Foreign white oak Pitch pine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Baltic fir • Red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pme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American rock elm Hackmatack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' Yellow pine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 Outward planking</w:t>
            </w:r>
          </w:p>
        </w:tc>
      </w:tr>
      <w:tr>
        <w:trPr>
          <w:trHeight w:val="10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cedar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New South Wales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Greenheart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hard wood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Morra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Wales to black strake*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White spruce Black birch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2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ι⅛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ι⅛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l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88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&gt;oak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Live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cedar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Other foreign white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India teak Greenheart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Morung saul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Pitch pine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 !U∙d pine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5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Topsides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Morra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English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Adriatic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y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Hackmatack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Yellow pine American lock elm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4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&gt;oak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Spanish &gt;oak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Γrι∙nch 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Pitch pine Morung saul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East India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teak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South American or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cedar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New South Wales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Greenheart Morra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hard wood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Other foreign white oak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1hecr strake« and plank sheer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English )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’ oak Live I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India teak Ureenheat 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lied cedar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Morung saul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 Pitch pine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pine Hackmatack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American rock elm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White spruce . Yellow pine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Black birch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Morra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waterways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English )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Africar. &gt;oak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Live 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Ea.«t India teak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cedar Greenheart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South American or New South Wales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Foreign white oak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Yellow pine American rock elm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White spruce Black birch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Waterways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Morra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haιd wood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Hackmatack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Morung saul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 Pitch pine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pine Larch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mber struke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2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Bilge planks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[•English African Adriatic Spanish French East Indi Morung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Red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cédai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•oak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Other foreign white oak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Pitch pine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 Red nine Larch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9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teak aul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'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Pitch pine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American rock elm Hackmatack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Yellow pine Black birch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white spruce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South American or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flower bold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New South Wales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 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Inboard plank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.ng</w:t>
            </w:r>
          </w:p>
        </w:tc>
      </w:tr>
      <w:tr>
        <w:trPr>
          <w:trHeight w:val="19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 hard wood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pine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and shell pieces</w:t>
            </w:r>
          </w:p>
        </w:tc>
      </w:tr>
      <w:tr>
        <w:trPr>
          <w:trHeight w:val="157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Lbetween decks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Other foreign white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Baltic fir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oak Pitch pine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pine 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Shelf-pieces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look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Foreign white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Ba!lie fir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J * East Iudia teak Morung saul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Adriatic</w:t>
              <w:tab/>
              <w:t>r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45" w:val="left"/>
              </w:tabs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Spanish</w:t>
              <w:tab/>
              <w:t>&gt;oak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49" w:val="left"/>
              </w:tabs>
              <w:bidi w:val="0"/>
              <w:spacing w:line="22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French</w:t>
              <w:tab/>
              <w:t>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Pitch pine Larch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Red pine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American rock elm Hackmatack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Yellow pine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White spruce Black birch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κcd cetlar Greenheart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South American or New South Wales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Baltic fir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American rock elm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4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Clamps</w:t>
            </w:r>
          </w:p>
        </w:tc>
        <w:tc>
          <w:tcPr>
            <w:gridSpan w:val="2"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Morra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hard wood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lied pine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Hackmatack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3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tabs>
          <w:tab w:pos="11336" w:val="left"/>
          <w:tab w:pos="11892" w:val="left"/>
        </w:tabs>
        <w:bidi w:val="0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this Table it is to be understood tint any timber which has been named for a specific use in a preceding class, may be used for a similar purpose in any succeeding class; and also, that wherever blank spaces are left, it is to be understood that for that appropriation the timber is to be as for the preceding class.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1336" w:val="left"/>
          <w:tab w:pos="11892" w:val="left"/>
        </w:tabs>
        <w:bidi w:val="0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Committee or Lloyd's Register Book permit the best Honduras mahogany to be used for all those purposes to which African timber is permitted to be applied by this Table; but they do not yet deem it expedient that it should be in</w:t>
        <w:softHyphen/>
        <w:t>serted in their Table, as, although disposed to think favourably of it, they consider sufficient evidence as to its durability has not been obtained.</w:t>
      </w:r>
    </w:p>
    <w:sectPr>
      <w:footnotePr>
        <w:pos w:val="pageBottom"/>
        <w:numFmt w:val="decimal"/>
        <w:numRestart w:val="continuous"/>
      </w:footnotePr>
      <w:pgSz w:w="15840" w:h="12240" w:orient="landscape"/>
      <w:pgMar w:top="1164" w:left="1617" w:right="1614" w:bottom="95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1">
    <w:name w:val="Body text (7)_"/>
    <w:basedOn w:val="DefaultParagraphFont"/>
    <w:link w:val="Style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0">
    <w:name w:val="Body text (7)"/>
    <w:basedOn w:val="Normal"/>
    <w:link w:val="CharStyle11"/>
    <w:pPr>
      <w:widowControl w:val="0"/>
      <w:shd w:val="clear" w:color="auto" w:fill="FFFFFF"/>
      <w:spacing w:line="202" w:lineRule="auto"/>
      <w:ind w:firstLine="7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