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iron in the bog-water, or the gallic acid in the tree. The substratum is universally limestone or gravel. In one of these bogs three growths of timber have been found ly</w:t>
        <w:softHyphen/>
        <w:t>ing under one another; the upper about five feet from the surface, the middle about two feet lower, and the third, which is always in a more or less decomposed state, near the gravelly bottom. The land in the neighbourhood of the bog tract is generally swampy, producing little but reeds and other aquatic vegetables. The sides of the valleys, watered by the streams that pass through the bog and marshes, throw up a good herbage without any artificial aid, except that of setting fire to the surface in the heat of summer. The heath and moss are thus destroyed, and scope is given to a spontaneous growth of grass, on which cattle feed eagerly in all seasons, bat chiefly in summer, the cool and moist sward being peculiarly grateful to their feet. Several tracts near the margin of the bog have been reclaimed, and the process is extending, although slowly, owing to the obstructions arising from individual interests, to a general and effective system of drainage. There is little, if any, native timber ; but plantations, sometimes very extensive, are to be seen around all the gentle</w:t>
        <w:softHyphen/>
        <w:t>men’s seats and the residences of the wealthier farmers. The growth of timber thus raised is as yet by no means suf</w:t>
        <w:softHyphen/>
        <w:t>ficient to remove the appearance of bareness which the land</w:t>
        <w:softHyphen/>
        <w:t>scape, otherwise abounding in natural beauties, exhibits.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progressive increase of the number of inhabitants appears from the following table of the population as taken at different periods.</w:t>
      </w:r>
    </w:p>
    <w:p>
      <w:pPr>
        <w:pStyle w:val="Style5"/>
        <w:keepNext w:val="0"/>
        <w:keepLines w:val="0"/>
        <w:widowControl w:val="0"/>
        <w:shd w:val="clear" w:color="auto" w:fill="auto"/>
        <w:tabs>
          <w:tab w:pos="1360" w:val="left"/>
          <w:tab w:pos="3431" w:val="right"/>
        </w:tabs>
        <w:bidi w:val="0"/>
        <w:spacing w:line="276" w:lineRule="auto"/>
        <w:ind w:left="0" w:firstLine="360"/>
        <w:jc w:val="left"/>
      </w:pPr>
      <w:r>
        <w:rPr>
          <w:color w:val="000000"/>
          <w:spacing w:val="0"/>
          <w:w w:val="100"/>
          <w:position w:val="0"/>
          <w:shd w:val="clear" w:color="auto" w:fill="auto"/>
          <w:lang w:val="en-US" w:eastAsia="en-US" w:bidi="en-US"/>
        </w:rPr>
        <w:t>Year.</w:t>
        <w:tab/>
        <w:t>Authority.</w:t>
        <w:tab/>
        <w:t>No,</w:t>
      </w:r>
    </w:p>
    <w:p>
      <w:pPr>
        <w:pStyle w:val="Style3"/>
        <w:keepNext w:val="0"/>
        <w:keepLines w:val="0"/>
        <w:widowControl w:val="0"/>
        <w:shd w:val="clear" w:color="auto" w:fill="auto"/>
        <w:tabs>
          <w:tab w:leader="dot" w:pos="1356" w:val="left"/>
          <w:tab w:leader="dot" w:pos="3601" w:val="right"/>
        </w:tabs>
        <w:bidi w:val="0"/>
        <w:spacing w:line="240" w:lineRule="auto"/>
        <w:ind w:left="0" w:firstLine="360"/>
        <w:jc w:val="left"/>
      </w:pPr>
      <w:r>
        <w:rPr>
          <w:color w:val="000000"/>
          <w:spacing w:val="0"/>
          <w:w w:val="100"/>
          <w:position w:val="0"/>
          <w:shd w:val="clear" w:color="auto" w:fill="auto"/>
          <w:lang w:val="en-US" w:eastAsia="en-US" w:bidi="en-US"/>
        </w:rPr>
        <w:t>1760</w:t>
        <w:tab/>
        <w:t xml:space="preserve">De </w:t>
      </w:r>
      <w:r>
        <w:rPr>
          <w:color w:val="000000"/>
          <w:spacing w:val="0"/>
          <w:w w:val="100"/>
          <w:position w:val="0"/>
          <w:shd w:val="clear" w:color="auto" w:fill="auto"/>
          <w:lang w:val="la-001" w:eastAsia="la-001" w:bidi="la-001"/>
        </w:rPr>
        <w:t>Burgo</w:t>
      </w:r>
      <w:r>
        <w:rPr>
          <w:color w:val="000000"/>
          <w:spacing w:val="0"/>
          <w:w w:val="100"/>
          <w:position w:val="0"/>
          <w:shd w:val="clear" w:color="auto" w:fill="auto"/>
          <w:lang w:val="en-US" w:eastAsia="en-US" w:bidi="en-US"/>
        </w:rPr>
        <w:tab/>
        <w:t>101,370</w:t>
      </w:r>
    </w:p>
    <w:p>
      <w:pPr>
        <w:pStyle w:val="Style3"/>
        <w:keepNext w:val="0"/>
        <w:keepLines w:val="0"/>
        <w:widowControl w:val="0"/>
        <w:shd w:val="clear" w:color="auto" w:fill="auto"/>
        <w:tabs>
          <w:tab w:leader="dot" w:pos="792" w:val="left"/>
          <w:tab w:leader="dot" w:pos="3037" w:val="right"/>
        </w:tabs>
        <w:bidi w:val="0"/>
        <w:spacing w:line="240" w:lineRule="auto"/>
        <w:ind w:left="0" w:firstLine="0"/>
        <w:jc w:val="left"/>
      </w:pPr>
      <w:r>
        <w:rPr>
          <w:color w:val="000000"/>
          <w:spacing w:val="0"/>
          <w:w w:val="100"/>
          <w:position w:val="0"/>
          <w:shd w:val="clear" w:color="auto" w:fill="auto"/>
          <w:lang w:val="en-US" w:eastAsia="en-US" w:bidi="en-US"/>
        </w:rPr>
        <w:t>1792</w:t>
        <w:tab/>
        <w:t>Beaufort</w:t>
        <w:tab/>
        <w:t>169,000</w:t>
      </w:r>
    </w:p>
    <w:p>
      <w:pPr>
        <w:pStyle w:val="Style3"/>
        <w:keepNext w:val="0"/>
        <w:keepLines w:val="0"/>
        <w:widowControl w:val="0"/>
        <w:shd w:val="clear" w:color="auto" w:fill="auto"/>
        <w:tabs>
          <w:tab w:leader="dot" w:pos="1343" w:val="left"/>
        </w:tabs>
        <w:bidi w:val="0"/>
        <w:spacing w:line="240" w:lineRule="auto"/>
        <w:ind w:left="0" w:firstLine="360"/>
        <w:jc w:val="left"/>
      </w:pPr>
      <w:r>
        <w:rPr>
          <w:color w:val="000000"/>
          <w:spacing w:val="0"/>
          <w:w w:val="100"/>
          <w:position w:val="0"/>
          <w:shd w:val="clear" w:color="auto" w:fill="auto"/>
          <w:lang w:val="en-US" w:eastAsia="en-US" w:bidi="en-US"/>
        </w:rPr>
        <w:t>1812</w:t>
        <w:tab/>
        <w:t>Parliamentary census...290,531</w:t>
      </w:r>
    </w:p>
    <w:p>
      <w:pPr>
        <w:pStyle w:val="Style3"/>
        <w:keepNext w:val="0"/>
        <w:keepLines w:val="0"/>
        <w:widowControl w:val="0"/>
        <w:shd w:val="clear" w:color="auto" w:fill="auto"/>
        <w:tabs>
          <w:tab w:leader="dot" w:pos="783" w:val="left"/>
          <w:tab w:leader="dot" w:pos="3023" w:val="right"/>
        </w:tabs>
        <w:bidi w:val="0"/>
        <w:spacing w:line="240" w:lineRule="auto"/>
        <w:ind w:left="0" w:firstLine="0"/>
        <w:jc w:val="left"/>
      </w:pPr>
      <w:r>
        <w:rPr>
          <w:color w:val="000000"/>
          <w:spacing w:val="0"/>
          <w:w w:val="100"/>
          <w:position w:val="0"/>
          <w:shd w:val="clear" w:color="auto" w:fill="auto"/>
          <w:lang w:val="en-US" w:eastAsia="en-US" w:bidi="en-US"/>
        </w:rPr>
        <w:t>1821</w:t>
        <w:tab/>
        <w:t>Ditto</w:t>
        <w:tab/>
        <w:t>346,896</w:t>
      </w:r>
    </w:p>
    <w:p>
      <w:pPr>
        <w:pStyle w:val="Style3"/>
        <w:keepNext w:val="0"/>
        <w:keepLines w:val="0"/>
        <w:widowControl w:val="0"/>
        <w:shd w:val="clear" w:color="auto" w:fill="auto"/>
        <w:tabs>
          <w:tab w:leader="dot" w:pos="783" w:val="left"/>
          <w:tab w:leader="dot" w:pos="3032" w:val="right"/>
        </w:tabs>
        <w:bidi w:val="0"/>
        <w:spacing w:line="240" w:lineRule="auto"/>
        <w:ind w:left="0" w:firstLine="0"/>
        <w:jc w:val="left"/>
      </w:pPr>
      <w:r>
        <w:rPr>
          <w:color w:val="000000"/>
          <w:spacing w:val="0"/>
          <w:w w:val="100"/>
          <w:position w:val="0"/>
          <w:shd w:val="clear" w:color="auto" w:fill="auto"/>
          <w:lang w:val="en-US" w:eastAsia="en-US" w:bidi="en-US"/>
        </w:rPr>
        <w:t>1831</w:t>
        <w:tab/>
        <w:t>Ditto</w:t>
        <w:tab/>
        <w:t>402,538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According to the latest of these returns, the population is to the entire surface as 1 to 2∙517, and to that of the number of cultivated acres as 1 to 2∙036. There is there</w:t>
        <w:softHyphen/>
        <w:t>fore a family of six individuals to every fifteen acres of the total surface, and to every twelve acres of cultivated land. According to the census taken by the commissioners of public instruction in 1834, which being calculated by dio</w:t>
        <w:softHyphen/>
        <w:t>ceses, allows only an approximation to accuracy as com</w:t>
        <w:softHyphen/>
        <w:t>pared with those calculated by counties, the total population amounted, in round numbers, to 413,000, of which 16,840 were of the established church, 660 Protestant dissenters, and the remaining 395,500 were Roman Catholics, who were then to the total Protestant population as twenty-three to one. The number of children receiving instruction in the public schools, according to returns made under the population act in 1821, the commission of education in 1824·6, and the latest rcturn of the commission of national education, was,</w:t>
      </w:r>
    </w:p>
    <w:p>
      <w:pPr>
        <w:pStyle w:val="Style5"/>
        <w:keepNext w:val="0"/>
        <w:keepLines w:val="0"/>
        <w:widowControl w:val="0"/>
        <w:shd w:val="clear" w:color="auto" w:fill="auto"/>
        <w:tabs>
          <w:tab w:pos="814" w:val="left"/>
          <w:tab w:pos="1677" w:val="left"/>
        </w:tabs>
        <w:bidi w:val="0"/>
        <w:spacing w:line="276" w:lineRule="auto"/>
        <w:ind w:left="0" w:firstLine="0"/>
        <w:jc w:val="left"/>
      </w:pPr>
      <w:r>
        <w:rPr>
          <w:color w:val="000000"/>
          <w:spacing w:val="0"/>
          <w:w w:val="100"/>
          <w:position w:val="0"/>
          <w:shd w:val="clear" w:color="auto" w:fill="auto"/>
          <w:lang w:val="en-US" w:eastAsia="en-US" w:bidi="en-US"/>
        </w:rPr>
        <w:t>Year.</w:t>
        <w:tab/>
        <w:t>Males.</w:t>
        <w:tab/>
        <w:t>Females. Sex not ascertained. Total.</w:t>
      </w:r>
    </w:p>
    <w:p>
      <w:pPr>
        <w:pStyle w:val="Style3"/>
        <w:keepNext w:val="0"/>
        <w:keepLines w:val="0"/>
        <w:widowControl w:val="0"/>
        <w:shd w:val="clear" w:color="auto" w:fill="auto"/>
        <w:tabs>
          <w:tab w:leader="dot" w:pos="1561" w:val="right"/>
          <w:tab w:leader="dot" w:pos="2035" w:val="left"/>
          <w:tab w:leader="dot" w:pos="3466" w:val="left"/>
        </w:tabs>
        <w:bidi w:val="0"/>
        <w:spacing w:line="240" w:lineRule="auto"/>
        <w:ind w:left="0" w:firstLine="360"/>
        <w:jc w:val="left"/>
      </w:pPr>
      <w:r>
        <w:rPr>
          <w:color w:val="000000"/>
          <w:spacing w:val="0"/>
          <w:w w:val="100"/>
          <w:position w:val="0"/>
          <w:shd w:val="clear" w:color="auto" w:fill="auto"/>
          <w:lang w:val="en-US" w:eastAsia="en-US" w:bidi="en-US"/>
        </w:rPr>
        <w:t>1821</w:t>
        <w:tab/>
        <w:t>14,160</w:t>
        <w:tab/>
        <w:t>6,586</w:t>
        <w:tab/>
        <w:t>20,746</w:t>
      </w:r>
    </w:p>
    <w:p>
      <w:pPr>
        <w:pStyle w:val="Style3"/>
        <w:keepNext w:val="0"/>
        <w:keepLines w:val="0"/>
        <w:widowControl w:val="0"/>
        <w:shd w:val="clear" w:color="auto" w:fill="auto"/>
        <w:tabs>
          <w:tab w:leader="dot" w:pos="1056" w:val="left"/>
          <w:tab w:leader="dot" w:pos="1919" w:val="left"/>
          <w:tab w:leader="dot" w:pos="2849" w:val="left"/>
          <w:tab w:leader="dot" w:pos="3462" w:val="left"/>
        </w:tabs>
        <w:bidi w:val="0"/>
        <w:spacing w:line="240" w:lineRule="auto"/>
        <w:ind w:left="0" w:firstLine="360"/>
        <w:jc w:val="left"/>
      </w:pPr>
      <w:r>
        <w:rPr>
          <w:color w:val="000000"/>
          <w:spacing w:val="0"/>
          <w:w w:val="100"/>
          <w:position w:val="0"/>
          <w:shd w:val="clear" w:color="auto" w:fill="auto"/>
          <w:lang w:val="en-US" w:eastAsia="en-US" w:bidi="en-US"/>
        </w:rPr>
        <w:t>1824·6</w:t>
        <w:tab/>
        <w:t>29,941</w:t>
        <w:tab/>
        <w:t>12,188</w:t>
        <w:tab/>
        <w:t>547</w:t>
        <w:tab/>
        <w:t>33,676</w:t>
      </w:r>
    </w:p>
    <w:p>
      <w:pPr>
        <w:pStyle w:val="Style3"/>
        <w:keepNext w:val="0"/>
        <w:keepLines w:val="0"/>
        <w:widowControl w:val="0"/>
        <w:shd w:val="clear" w:color="auto" w:fill="auto"/>
        <w:tabs>
          <w:tab w:leader="dot" w:pos="1096" w:val="left"/>
          <w:tab w:leader="dot" w:pos="2035" w:val="left"/>
          <w:tab w:leader="dot" w:pos="3981" w:val="right"/>
        </w:tabs>
        <w:bidi w:val="0"/>
        <w:spacing w:line="240" w:lineRule="auto"/>
        <w:ind w:left="0" w:firstLine="360"/>
        <w:jc w:val="left"/>
      </w:pPr>
      <w:r>
        <w:rPr>
          <w:color w:val="000000"/>
          <w:spacing w:val="0"/>
          <w:w w:val="100"/>
          <w:position w:val="0"/>
          <w:shd w:val="clear" w:color="auto" w:fill="auto"/>
          <w:lang w:val="en-US" w:eastAsia="en-US" w:bidi="en-US"/>
        </w:rPr>
        <w:t>1837</w:t>
        <w:tab/>
        <w:t>3,694</w:t>
        <w:tab/>
        <w:t>2,588</w:t>
        <w:tab/>
        <w:t>6,282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return of 1824·6 is the only one in which the reli</w:t>
        <w:softHyphen/>
        <w:t>gious persuasion of the pupils is noticed. According to it the numbers were, members of the established church 2871, Protestant dissenters eighty-four, Roman Catholics 30,407, religion not ascertained 314, which gives an aver</w:t>
        <w:softHyphen/>
        <w:t>age of thirty Roman Catholics to one Protestant. In the same return the total number of schools is stated to be 657, of which forty-three, affording instruction to 2747 pupils, were maintained wholly by grants of public money ; seventy- one, with 5256 pupils, by voluntary subscriptions ; and the remaining 543, with 25,673 pupils, wholly by the fees of the pupils.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county is divided into the eleven baronies of Clan</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william, Eliogarty, Iffa and Offa East, Iffa and Offa West, Ikerrin, Kilnemanagh, Middlethird, Lower Ormond, Upper Ormond, and Slieveardagh, which are subdivided into 189 parishes, of which ninety-six were in the diocese of Cashel, twenty in that of Emly, thirty-two in Lismore, and forty- one in Killaloe. The cathedrals of the dioceses of Cashel and Emly are both within the county, in places from which the sees have received their names. The former, which retains the rank of a city, is still a place of some note ; the latter, though said to be the ancient Imlagh, noted by Ptolemy as one of the three principal cities in the island, is now an inconsiderable village, with a population of 701 souls. Under a late order of council, the county has been divided into two ridings. It returned eight members to the Irish parliament, two for the county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two for each of the boroughs of Cashel, Clonmell, and Fethard. The number was reduced to four by the act of union, which dis</w:t>
        <w:softHyphen/>
        <w:t>franchised the last-named borough, and deprived each of the others of one of its members. The constituency of the county, at several periods since the disfranchisement of the forty-shilling freeholders in 1829, is as follows :</w:t>
      </w:r>
    </w:p>
    <w:p>
      <w:pPr>
        <w:pStyle w:val="Style5"/>
        <w:keepNext w:val="0"/>
        <w:keepLines w:val="0"/>
        <w:widowControl w:val="0"/>
        <w:shd w:val="clear" w:color="auto" w:fill="auto"/>
        <w:tabs>
          <w:tab w:pos="1078" w:val="left"/>
          <w:tab w:pos="1901" w:val="left"/>
          <w:tab w:pos="2724" w:val="left"/>
          <w:tab w:pos="3435" w:val="left"/>
        </w:tabs>
        <w:bidi w:val="0"/>
        <w:spacing w:line="276" w:lineRule="auto"/>
        <w:ind w:left="0" w:firstLine="360"/>
        <w:jc w:val="left"/>
      </w:pPr>
      <w:r>
        <w:rPr>
          <w:color w:val="000000"/>
          <w:spacing w:val="0"/>
          <w:w w:val="100"/>
          <w:position w:val="0"/>
          <w:shd w:val="clear" w:color="auto" w:fill="auto"/>
          <w:lang w:val="en-US" w:eastAsia="en-US" w:bidi="en-US"/>
        </w:rPr>
        <w:t>Year.</w:t>
        <w:tab/>
        <w:t>L.50.</w:t>
        <w:tab/>
        <w:t>L.20.</w:t>
        <w:tab/>
        <w:t>L.10.</w:t>
        <w:tab/>
        <w:t>Total.</w:t>
      </w:r>
    </w:p>
    <w:p>
      <w:pPr>
        <w:pStyle w:val="Style3"/>
        <w:keepNext w:val="0"/>
        <w:keepLines w:val="0"/>
        <w:widowControl w:val="0"/>
        <w:shd w:val="clear" w:color="auto" w:fill="auto"/>
        <w:tabs>
          <w:tab w:pos="644" w:val="left"/>
          <w:tab w:leader="dot" w:pos="1092" w:val="left"/>
          <w:tab w:leader="dot" w:pos="1914" w:val="left"/>
          <w:tab w:leader="dot" w:pos="2737" w:val="left"/>
          <w:tab w:leader="dot" w:pos="3448" w:val="left"/>
        </w:tabs>
        <w:bidi w:val="0"/>
        <w:spacing w:line="240" w:lineRule="auto"/>
        <w:ind w:left="0" w:firstLine="360"/>
        <w:jc w:val="left"/>
      </w:pPr>
      <w:r>
        <w:rPr>
          <w:color w:val="000000"/>
          <w:spacing w:val="0"/>
          <w:w w:val="100"/>
          <w:position w:val="0"/>
          <w:shd w:val="clear" w:color="auto" w:fill="auto"/>
          <w:lang w:val="en-US" w:eastAsia="en-US" w:bidi="en-US"/>
        </w:rPr>
        <w:t>1831</w:t>
        <w:tab/>
        <w:tab/>
        <w:t>2015</w:t>
        <w:tab/>
        <w:t>411</w:t>
        <w:tab/>
        <w:t>475</w:t>
        <w:tab/>
        <w:t>2901</w:t>
      </w:r>
    </w:p>
    <w:p>
      <w:pPr>
        <w:pStyle w:val="Style3"/>
        <w:keepNext w:val="0"/>
        <w:keepLines w:val="0"/>
        <w:widowControl w:val="0"/>
        <w:shd w:val="clear" w:color="auto" w:fill="auto"/>
        <w:tabs>
          <w:tab w:pos="644" w:val="left"/>
          <w:tab w:leader="dot" w:pos="3484" w:val="left"/>
        </w:tabs>
        <w:bidi w:val="0"/>
        <w:spacing w:line="240" w:lineRule="auto"/>
        <w:ind w:left="0" w:firstLine="360"/>
        <w:jc w:val="left"/>
      </w:pPr>
      <w:r>
        <w:rPr>
          <w:color w:val="000000"/>
          <w:spacing w:val="0"/>
          <w:w w:val="100"/>
          <w:position w:val="0"/>
          <w:shd w:val="clear" w:color="auto" w:fill="auto"/>
          <w:lang w:val="en-US" w:eastAsia="en-US" w:bidi="en-US"/>
        </w:rPr>
        <w:t>1832</w:t>
        <w:tab/>
        <w:tab/>
        <w:t>2360</w:t>
      </w:r>
    </w:p>
    <w:p>
      <w:pPr>
        <w:pStyle w:val="Style3"/>
        <w:keepNext w:val="0"/>
        <w:keepLines w:val="0"/>
        <w:widowControl w:val="0"/>
        <w:shd w:val="clear" w:color="auto" w:fill="auto"/>
        <w:tabs>
          <w:tab w:leader="dot" w:pos="3480" w:val="left"/>
        </w:tabs>
        <w:bidi w:val="0"/>
        <w:spacing w:line="240" w:lineRule="auto"/>
        <w:ind w:left="0" w:firstLine="360"/>
        <w:jc w:val="left"/>
      </w:pPr>
      <w:r>
        <w:rPr>
          <w:color w:val="000000"/>
          <w:spacing w:val="0"/>
          <w:w w:val="100"/>
          <w:position w:val="0"/>
          <w:shd w:val="clear" w:color="auto" w:fill="auto"/>
          <w:lang w:val="en-US" w:eastAsia="en-US" w:bidi="en-US"/>
        </w:rPr>
        <w:t>1834</w:t>
        <w:tab/>
        <w:t>2369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local government is under the control of a lord lieu</w:t>
        <w:softHyphen/>
        <w:t>tenant, twenty-eight deputy-lieutenants, and 118 other ma</w:t>
        <w:softHyphen/>
        <w:t>gistrates, besides eight stipendiaries specially appointed, and receiving salaries from the crown ; under whom is a con</w:t>
        <w:softHyphen/>
        <w:t>stabulary force, which in 1836 consisted of twelve chief con</w:t>
        <w:softHyphen/>
        <w:t>stables and 686 constables and subconstables, and, since the division of the county, of one county inspector, six sub- inspectors, seven head constables, and 351 constables and subconstables for the north riding, and one county inspec</w:t>
        <w:softHyphen/>
        <w:t>tor, seven subinspectors, ten head constables, and 391 con</w:t>
        <w:softHyphen/>
        <w:t>stables and subconstables for the south. The county prison, at Clonmell, is ill adapted for carrying into effect the improvements now generally introduced into the prisons of Ireland. A prison for the north riding is at present build</w:t>
        <w:softHyphen/>
        <w:t xml:space="preserve">ing in </w:t>
      </w:r>
      <w:r>
        <w:rPr>
          <w:color w:val="000000"/>
          <w:spacing w:val="0"/>
          <w:w w:val="100"/>
          <w:position w:val="0"/>
          <w:shd w:val="clear" w:color="auto" w:fill="auto"/>
          <w:lang w:val="de-DE" w:eastAsia="de-DE" w:bidi="de-DE"/>
        </w:rPr>
        <w:t xml:space="preserve">Nenagh. </w:t>
      </w:r>
      <w:r>
        <w:rPr>
          <w:color w:val="000000"/>
          <w:spacing w:val="0"/>
          <w:w w:val="100"/>
          <w:position w:val="0"/>
          <w:shd w:val="clear" w:color="auto" w:fill="auto"/>
          <w:lang w:val="en-US" w:eastAsia="en-US" w:bidi="en-US"/>
        </w:rPr>
        <w:t xml:space="preserve">The number of committals in 1839 was 2110, of whom 1164 were acquitted or liberated for want of prosecution, and 946 were convicted. Of this latter class, 256 were fined or liberated on securities, 608 imprisoned, seventy-three transported, and nine sentenced to death, of whom four were executed. Besides the convictions above stated, 583 were convicted before the magistrates at petty sessions for trivial offences, and 3889 for intoxication. The total number of convictions is to the population as one to sixty-three, and of convictions for capital or transportable offences as 1 to 5037. The county infirmary, fever hospital, and lunatic asylum, are also in Clonmell. The last-named institution maintains ninety-nine patients, fifty-five male and forty-one female. Of the cases there are, idiots four, epileptic one, curable maniacs sixty, incurable thirty-one ; besides which there are in the Clonmell house of industry nineteen cases of idiocy and seven of epilepsy. The sites of the work-houses under the new poor-law act have been fixed at Carrick-on-Suir, Cashel, Clogheen, Clonmell, </w:t>
      </w:r>
      <w:r>
        <w:rPr>
          <w:color w:val="000000"/>
          <w:spacing w:val="0"/>
          <w:w w:val="100"/>
          <w:position w:val="0"/>
          <w:shd w:val="clear" w:color="auto" w:fill="auto"/>
          <w:lang w:val="de-DE" w:eastAsia="de-DE" w:bidi="de-DE"/>
        </w:rPr>
        <w:t>Ne</w:t>
        <w:softHyphen/>
        <w:t xml:space="preserve">nagh, </w:t>
      </w:r>
      <w:r>
        <w:rPr>
          <w:color w:val="000000"/>
          <w:spacing w:val="0"/>
          <w:w w:val="100"/>
          <w:position w:val="0"/>
          <w:shd w:val="clear" w:color="auto" w:fill="auto"/>
          <w:lang w:val="en-US" w:eastAsia="en-US" w:bidi="en-US"/>
        </w:rPr>
        <w:t>Roscrea, Thurles, and Tipperary.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modes of agriculture are regulated by the character of the soil and the face of the country. Tillage prevails in the lowland districts, and is carried on with much spirit, and in general according to the most modern systems. The size of the farms is generally small, averaging at about fifty acres, and in many instances diminishing to eight or ten, in consequence of the subdivision of land among the under tenants. The rotation adopted on the rich lands in the Golden Vale, and in the almost equally fertile districts in the northern parts of the county, is, potatoes, wheat, and oats; in the lighter soils, as on the Slieveardagh Hills, and the mountain sides, on which the use of the plough is yearly</w:t>
      </w:r>
    </w:p>
    <w:p>
      <w:pPr>
        <w:widowControl w:val="0"/>
        <w:spacing w:line="1" w:lineRule="exact"/>
      </w:pPr>
    </w:p>
    <w:sectPr>
      <w:footnotePr>
        <w:pos w:val="pageBottom"/>
        <w:numFmt w:val="decimal"/>
        <w:numRestart w:val="continuous"/>
      </w:footnotePr>
      <w:type w:val="continuous"/>
      <w:pgSz w:w="12240" w:h="15840"/>
      <w:pgMar w:top="1811" w:left="2048" w:right="1780" w:bottom="1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