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30"/>
          <w:szCs w:val="30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B cos. C = sin. B sin. C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underscore" w:pos="963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B = sin. C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 cos. C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B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considering that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cotangent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an arc is the reci</w:t>
        <w:softHyphen/>
        <w:t xml:space="preserve">procal of the tangent, and that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tangent is e&lt;pιal to the sine divided by the cosine, we now obtain these ten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for</w:t>
        <w:softHyphen/>
        <w:t xml:space="preserve">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right-angled triangles, in which A is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right angle.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428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(1)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929" w:val="left"/>
          <w:tab w:pos="2985" w:val="left"/>
          <w:tab w:leader="dot" w:pos="3477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B = ~,</w:t>
        <w:tab/>
        <w:t>sin. C =</w:t>
        <w:tab/>
        <w:tab/>
        <w:t>(2) (3)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12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sm.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α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281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,, tan.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>c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„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... ...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hyphen" w:pos="1306" w:val="left"/>
          <w:tab w:pos="1938" w:val="left"/>
          <w:tab w:leader="dot" w:pos="3048" w:val="left"/>
          <w:tab w:leader="dot" w:pos="3477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B = </w:t>
        <w:tab/>
        <w:t>,</w:t>
        <w:tab/>
        <w:t xml:space="preserve">cos. C =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(4) (5)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02" w:val="left"/>
          <w:tab w:pos="3677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tan.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56" w:val="left"/>
        </w:tabs>
        <w:bidi w:val="0"/>
        <w:spacing w:line="240" w:lineRule="auto"/>
        <w:ind w:lef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π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vertAlign w:val="superscript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τ&gt; tan.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ab/>
        <w:t xml:space="preserve">tan.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 . . </w:t>
      </w:r>
      <w:r>
        <w:rPr>
          <w:i/>
          <w:i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ea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∖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604" w:val="left"/>
          <w:tab w:pos="3006" w:val="center"/>
        </w:tabs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sin. c</w:t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527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rFonts w:ascii="Arial Unicode MS" w:eastAsia="Arial Unicode MS" w:hAnsi="Arial Unicode MS" w:cs="Arial Unicode MS"/>
          <w:i/>
          <w:i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■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 B cot. C</w:t>
        <w:tab/>
        <w:t>(8)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39" w:val="left"/>
          <w:tab w:pos="859" w:val="left"/>
          <w:tab w:pos="2565" w:val="left"/>
          <w:tab w:pos="2958" w:val="center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„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  <w:tab/>
        <w:t>cos. B</w:t>
        <w:tab/>
        <w:t>cos.</w:t>
        <w:tab/>
        <w:t>C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572" w:val="left"/>
          <w:tab w:pos="2964" w:val="center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sιn.C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sm.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 These ten formulae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however be ex</w:t>
        <w:softHyphen/>
        <w:t xml:space="preserve">pressed in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words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six, are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continual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use in astronomy. It is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therefore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desirable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that they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should be comprehended in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fewest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number possible of practical rules,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simple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easily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remembered.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Such were found by Napier, the inventor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logarithms,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are known by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name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Napiers Rules of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circular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Parts.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They are not new propositions, but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merely enunciations,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which, by a parti</w:t>
        <w:softHyphen/>
        <w:t xml:space="preserve">cular arrangement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classification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parts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tri</w:t>
        <w:softHyphen/>
        <w:t xml:space="preserve">angle, include all the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six proportions.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They are perhaps the happiest example of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artificial memory that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known.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a right-angled spherical triangle ABC, setting aside the right angle A, there remain the sides AC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AB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about the right angle ; the hypotenuse BC =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two oblique angles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The first two of these, viz. the sides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 c,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complements of the remaining three, viz. 90° — a, 90° — B, 90° — C,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called the five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circu</w:t>
        <w:softHyphen/>
        <w:t>lar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parts. They are called circular, because, when taken in their order, they go round the triangle.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14. When one of the five circular parts is taken as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middle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part, the two next to it, one on each side, are called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adjacent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parts; and the other two, each of which is se</w:t>
        <w:softHyphen/>
        <w:t xml:space="preserve">parated from the middle by an adjacent part, are called the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opposite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Thus, if 90°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the middle part. 90° — C and 90° — B are the adjacent parts,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c the opposite parts ; if 90° — B be the middle part, 90°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the adjacent parts, and 90° — C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the opposite parts; and if c be the middle part, 90° — B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the adjacent parts, and 90°—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90° —C the opposite parts ; and so 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arrangement being made, the rule of the circular parts is contained in the following proposition 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rectangle under radius and the sine of the middle part is equal to the rectangle under the tangents of the adja</w:t>
        <w:softHyphen/>
        <w:t>cent parts ; also to the rectangle under the cosines of the op</w:t>
        <w:softHyphen/>
        <w:t>posite parts.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may assist the memory if we represent the middle part by the letter M, the adjacent parts by the letters A,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and the opposite parts by the letters O,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the rule will stand thus 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****R∙sin. M = tan. A ∙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 ∙ sin. M — cos. O ∙ cos. 0.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492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15.</w:t>
        <w:tab/>
        <w:t>To verify the rule, let 90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complement of the hypotenuse, be the middle part ; then 90° — C, and 90° — B will be the adjacent,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opposite parts ; and by the rule,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∙ sin. (90°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a) f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 tan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90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°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∙ (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9υ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° — C)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450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</w:t>
        <w:tab/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ο </w:t>
      </w:r>
      <w:r>
        <w:rPr>
          <w:i/>
          <w:iCs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cos.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e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2702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∏ 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λ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 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cot. B cot. C. This 19 form. (8) (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 </w:t>
      </w:r>
      <w:r>
        <w:rPr>
          <w:i/>
          <w:iCs/>
          <w:smallCaps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cos.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this is form. (1)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006" w:val="left"/>
        </w:tabs>
        <w:bidi w:val="0"/>
        <w:spacing w:line="29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Let 90° — B, the complement of one of the oblique an</w:t>
        <w:softHyphen/>
        <w:t xml:space="preserve">gles, be the middle part, then 90° — α and care the adjacent parts, and 90° — C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opposite. The rule gives R ∙ cos B i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 c0t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α tan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Fonn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’ &lt;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&gt;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leader="dot" w:pos="3064" w:val="lef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= sin. </w:t>
      </w:r>
      <w:r>
        <w:rPr>
          <w:color w:val="000000"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Form. (9, 10)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of the sides about the right angle, be the middle part, then 90*— C and ewill be the adjacent parts, and 90° —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90° — B the opposite parts. In this case, by the rule,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51" w:val="center"/>
          <w:tab w:pos="1299" w:val="right"/>
          <w:tab w:pos="1340" w:val="left"/>
          <w:tab w:pos="1493" w:val="left"/>
          <w:tab w:pos="1805" w:val="left"/>
          <w:tab w:pos="3082" w:val="left"/>
          <w:tab w:pos="3998" w:val="righ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.</w:t>
        <w:tab/>
        <w:t>, f</w:t>
        <w:tab/>
        <w:t>=</w:t>
        <w:tab/>
        <w:t>cot.</w:t>
        <w:tab/>
        <w:t xml:space="preserve">C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c..........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ab/>
        <w:t>Form, f6,</w:t>
        <w:tab/>
        <w:t>7)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956" w:val="center"/>
          <w:tab w:pos="1304" w:val="right"/>
          <w:tab w:pos="1344" w:val="left"/>
          <w:tab w:pos="1498" w:val="left"/>
          <w:tab w:pos="2044" w:val="left"/>
          <w:tab w:pos="3087" w:val="left"/>
        </w:tabs>
        <w:bidi w:val="0"/>
        <w:spacing w:line="18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 ∙</w:t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bl</w:t>
        <w:tab/>
        <w:t>_</w:t>
        <w:tab/>
        <w:t>.</w:t>
        <w:tab/>
        <w:t xml:space="preserve">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  <w:tab/>
        <w:t>t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 )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1331" w:val="left"/>
          <w:tab w:pos="1484" w:val="left"/>
          <w:tab w:pos="1796" w:val="left"/>
          <w:tab w:leader="dot" w:pos="3015" w:val="left"/>
          <w:tab w:pos="3972" w:val="right"/>
        </w:tabs>
        <w:bidi w:val="0"/>
        <w:spacing w:line="18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</w:t>
        <w:tab/>
        <w:t>=</w:t>
        <w:tab/>
        <w:t>sin.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15</w:t>
        <w:tab/>
        <w:t xml:space="preserve"> r orm. (2,</w:t>
        <w:tab/>
        <w:t>3)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These are all the cases of right-angled triangles.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applying the rule of the circular parts to resolve any case of right-angled triangles, consider which of the three quantities named (the two things given and the one re</w:t>
        <w:softHyphen/>
        <w:t>quired) must be made the middle term, in order that the other two may be equidistant from it, that is, may be both adjacent or both opposite ; then the one or the other of the theorems which constitute the rule will give the value of the thing required.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Suppose, for example, that c a side about the right angle, and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hypotenuse, are given to find the angle C. It appears that if c be made the middle part, then 9(90° —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90° — C are the opposite parts ; and therefore that R ∙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C, and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: sin. c = R : sin. C.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06" w:val="left"/>
        </w:tabs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16.</w:t>
        <w:tab/>
        <w:t>Delambre has avowed that he found it easier to re</w:t>
        <w:softHyphen/>
        <w:t xml:space="preserve">member the six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right-angled triangles than to apply Napier’s rules. In astronomy, the sun’s longitude ( ) is the hypotenuse of a right-angled triangle, of which the right ascension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R) and declination (D) are the sides about the right angle, the obliquity of the ecliptic 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is one of the oblique angles. Let the other oblique angle be denoted by A, then the six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right-angled spherical triangles adapted to astronomical calculation will stand thus :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***Sin. D = sin.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Q, tan. .4R =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ω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tan. 0, tan. D = tan.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sin. All, cos. o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ΛR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cos. D, cos. Q — cot. a, cot. A, cos. A = sin. ω cos. ΛR.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practical astronomer, who has continual occasion to use the first four of these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will find no difficulty in retaining them in his memory. But Napier’s rules will probably be most easily remembered by students of that science.</w:t>
      </w:r>
    </w:p>
    <w:p>
      <w:pPr>
        <w:pStyle w:val="Style3"/>
        <w:keepNext w:val="0"/>
        <w:keepLines w:val="0"/>
        <w:widowControl w:val="0"/>
        <w:shd w:val="clear" w:color="auto" w:fill="auto"/>
        <w:tabs>
          <w:tab w:pos="524" w:val="left"/>
        </w:tabs>
        <w:bidi w:val="0"/>
        <w:spacing w:line="25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17.</w:t>
        <w:tab/>
        <w:t xml:space="preserve">The general </w:t>
      </w:r>
      <w:r>
        <w:rPr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formulæ, I.,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II., III., IV., serve for all spherical triangles; but they admit of transformations, which make them more convenient for logarithmic calcu</w:t>
        <w:softHyphen/>
        <w:t>lation.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3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Resuming the formula, (I.) we put the first under these two forms.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594" w:left="1620" w:right="1844" w:bottom="126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 (5)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3">
    <w:name w:val="Body text (5)"/>
    <w:basedOn w:val="Normal"/>
    <w:link w:val="CharStyle4"/>
    <w:pPr>
      <w:widowControl w:val="0"/>
      <w:shd w:val="clear" w:color="auto" w:fill="FFFFFF"/>
      <w:ind w:firstLine="20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