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tabs>
          <w:tab w:pos="1834" w:val="left"/>
          <w:tab w:pos="3115" w:val="left"/>
        </w:tabs>
        <w:bidi w:val="0"/>
        <w:spacing w:line="293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Cos.’B cos. ^C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_sin.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_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sin.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¾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de-DE" w:eastAsia="de-DE" w:bidi="de-DE"/>
        </w:rPr>
        <w:t xml:space="preserve">(o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-⅜- ⅛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de-DE" w:eastAsia="de-DE" w:bidi="de-DE"/>
        </w:rPr>
        <w:t xml:space="preserve">-f-c)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JA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sin.α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’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Sin. IB sin. i C_ sin. (s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a)_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sin. ⅛ (⅛ + c — o)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sin. ^A</w:t>
        <w:tab/>
        <w:t>sin. a</w:t>
        <w:tab/>
        <w:t>sin. a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By adding and subtracting the sides of these equations, and observing that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Sin. AB cos. JC ± sin. JC cos. JB = sin.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 =±z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C),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 JB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!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C=p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,JB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!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(B ∑±z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C), Sin∙i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(a + 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—c)-∣-sin.J (aψc—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b)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 sin.,],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«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l(Z∣—c),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Sin∙i (α-f-⅛—c)—sin. J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(a-j-c—b)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2cos∙iasin.⅜(0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c),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J(a-f-Z&gt;-pc) —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,',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(b-(-c—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2sin. 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α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(i-∣-c), Sin. &lt;5(6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«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+a)+sin.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(Z∣-(-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—a) = 2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'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⅛ (⅛-f-c),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 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⅛a,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(as has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proved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Algebra,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articles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240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247), we obtain the following results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: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(*)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5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Sin.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(β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-t- C)_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cos.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(⅛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c)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519" w:val="left"/>
          <w:tab w:pos="2004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Ü</w:t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'</w:t>
        <w:tab/>
        <w:t xml:space="preserve">cos.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Jα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974" w:val="left"/>
          <w:tab w:pos="1399" w:val="left"/>
        </w:tabs>
        <w:bidi w:val="0"/>
        <w:spacing w:line="29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Sin.J(B—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C)_sin.|(é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 c) cos.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JA</w:t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sin.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⅜a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455" w:val="left"/>
        </w:tabs>
        <w:bidi w:val="0"/>
        <w:spacing w:line="298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Cos. j(B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-⅜- C)_ cos. ⅜(⅛ + c)</w:t>
        <w:tab/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519" w:val="left"/>
          <w:tab w:pos="2004" w:val="left"/>
        </w:tabs>
        <w:bidi w:val="0"/>
        <w:spacing w:line="298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sin. 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cos.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∣a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974" w:val="left"/>
          <w:tab w:pos="1399" w:val="left"/>
        </w:tabs>
        <w:bidi w:val="0"/>
        <w:spacing w:line="29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Cos.⅛(B—C)_ sin.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⅜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-f-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sin. ⅜A</w:t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sin. ∣a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These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were first given by Gauss, in his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work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Theoria Motus corporum C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aelestium.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43" w:val="left"/>
        </w:tabs>
        <w:bidi w:val="0"/>
        <w:spacing w:line="293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22.</w:t>
        <w:tab/>
        <w:t xml:space="preserve">Let us now divide the sides of formula (1) by those of formula (3), also the sides of (2) by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sides of (4), and the sides of (4) by the sides of (3), and, lastly, the sides of (2) by the sides of (1) ; and put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tan.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results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instead 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also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cot.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instead of °∙~' ; we then have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586" w:val="left"/>
        </w:tabs>
        <w:bidi w:val="0"/>
        <w:spacing w:line="180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cos.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stn∙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(∙)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455" w:val="left"/>
        </w:tabs>
        <w:bidi w:val="0"/>
        <w:spacing w:line="185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Tan. j(B + C)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_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cos.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⅜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(⅛ — c)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æ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209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cot.</w:t>
        <w:tab/>
        <w:t xml:space="preserve">I A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⅛ (b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-p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455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Tan.⅜(B-C)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_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sin, </w:t>
      </w:r>
      <w:r>
        <w:rPr>
          <w:i/>
          <w:iCs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⅛(b-c)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g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cot. ⅜A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∣(6 -f- c)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Tan. ⅜(6-⅜- c)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_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cos.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⅛(B—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C)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tan.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⅜α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~ cos.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∣(B -∣-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Tan.⅜(⅛-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c)_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sin.⅜(B- 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dot" w:pos="3455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tan. ⅜α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⅜ (B -∣- C)</w:t>
        <w:tab/>
        <w:t>' ‘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These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formulæ,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expressed in words as proportions, 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commonly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called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Napiers analogies.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He however only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gave the last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the concise form which it here presents. The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third, as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 left it, had two common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divisors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terms of a ratio,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which he overlooked.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 commentator Briggs removed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defect, and, in addition, deduced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first and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second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from the third and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fourth by the theorem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here demonstrated in art. 11. Thus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 is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</w:t>
        <w:softHyphen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titled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share with Napier 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honour 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having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dis</w:t>
        <w:softHyphen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covered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these very elegant properties of spherical triangles.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From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first and second of these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formulæ,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there is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found,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by division, this other formula: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(&lt;)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9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Tan. 4(B -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f- C)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_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tan. ∣(⅛ -∣- c)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Tan.∣(B — C)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tan. ⅜(Z&gt;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c)'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formula is also due to Napier.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29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23.</w:t>
        <w:tab/>
        <w:t xml:space="preserve">There are some properties of spherical triangles which may be more concisely proved by the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than by geometrical reasoning. Such are those which follow.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I. In a spherical triangle, the greater angle is opposite to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greater side, and conversely.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Let α,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b,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sides of a spherical triangle, and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the angles opposite to the sides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b, c.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It appears from for</w:t>
        <w:softHyphen/>
        <w:t xml:space="preserve">mula (2)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δ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article 21, that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Sin. ⅜(B — C)_ cos.⅜A.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Sin. ⅜(Z∕— c)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⅛α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second member of this equation is always a positive quantity, therefore the first must also be positive. This can only be true on the hypothesis that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greater than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then B is also greater than C. The truth of the converse follows from the same principle.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25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II.</w:t>
        <w:tab/>
        <w:t>the angles at the base of an isosceles triangle are equal, and conversely.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 we have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 ½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sin. ½ (B — C) = cos. ½ A sin. ½(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).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c, the second side of the equation becomes = 0, therefore the first side must also be = 0. This re</w:t>
        <w:softHyphen/>
        <w:t>quires that B = C. The converse follows from the same formula.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632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III.</w:t>
        <w:tab/>
        <w:t>Any two sides of a spherical triangle are together greater than the third.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appears from article 17, that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****.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897" w:val="lef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~</w:t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sm.⅜(α -I-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-f- c)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second side of this equation is always a positive quantity, therefore the first must also be positive. This requires that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 in every case greater than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This proposition has been otherwise proved geometrically, Theo</w:t>
        <w:softHyphen/>
        <w:t>rem III.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665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IV.</w:t>
        <w:tab/>
        <w:t>We have found (article 21) that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Cos. ½ 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sin. ½A = cos. ½ (B + C) cos. ½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Now sin. ½A and cos. ½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always positive, because each arc is less than a quadrant. Therefore cos. ½(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and cos. ½ (B + C) have always the same sign ; and hence ½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½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(B 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C) are of the same affection, and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c, either both less than a semicircle, or both equal to it, or both greater.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66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V.</w:t>
        <w:tab/>
        <w:t xml:space="preserve">The hypotenuse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a right-angled spherical triangle is less or greater than 90°, according as the sides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b, c,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about the right angle A, are of the same affection, or of different affection ; that is, in the former case, both less or both greater than 90° ; and in the latter, one less and the other greater than 90°.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This follows immediately from the formula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≡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(art. 12) ; for if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 both less than 90° or both greater, they have like signs, and their product has the sign +, which indicates that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less than 90°. If one of the two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b, 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 less and the other greater than 90°, they will have different signs, and the sign of their product will be —,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must be greater than 90°.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61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VI.</w:t>
        <w:tab/>
        <w:t xml:space="preserve">The same rule applies to each of the sides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b, 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for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will be less than 90° if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 of the same affection, but greater than 90° if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c are of different affection.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643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VII.</w:t>
        <w:tab/>
        <w:t xml:space="preserve">The formula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cot B cot. C shows that the hypotenuse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will be less than 90° when B and C are of the same affection, but greater than 90° if they be of dif</w:t>
        <w:softHyphen/>
        <w:t>ferent affection.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702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VIII.</w:t>
        <w:tab/>
        <w:t xml:space="preserve">Also, that either of the angles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C, will be less than 90° if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other angle be of the same affection, but greater than 90° if they be of different affection.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702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IX.</w:t>
        <w:tab/>
        <w:t xml:space="preserve">The formula cos. B =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shows that the angle B and the opposite side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always of the same af</w:t>
        <w:softHyphen/>
        <w:t>fection.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70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X.</w:t>
        <w:tab/>
        <w:t xml:space="preserve">The formula tan.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tan.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cot B shows that the hypotenuse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either side c are of the same affection if the angle they contain be acute, but of different affection if the angle be obtuse.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70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XI.</w:t>
        <w:tab/>
        <w:t xml:space="preserve">Lastly, the formula tan.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tan. B proves that the side and the opposite angle are always of the same affection.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643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XII.</w:t>
        <w:tab/>
        <w:t>In any spherical triangle ABC, draw AD an arc of a great circle perpendicular to the base BC, thus form</w:t>
        <w:softHyphen/>
        <w:t>ing two right-angled triangles ADC, ADB, which have</w:t>
      </w:r>
    </w:p>
    <w:sectPr>
      <w:footnotePr>
        <w:pos w:val="pageBottom"/>
        <w:numFmt w:val="decimal"/>
        <w:numRestart w:val="continuous"/>
      </w:footnotePr>
      <w:pgSz w:w="12240" w:h="15840"/>
      <w:pgMar w:top="1509" w:left="1700" w:right="1628" w:bottom="121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 (5)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3">
    <w:name w:val="Body text (5)"/>
    <w:basedOn w:val="Normal"/>
    <w:link w:val="CharStyle4"/>
    <w:pPr>
      <w:widowControl w:val="0"/>
      <w:shd w:val="clear" w:color="auto" w:fill="FFFFFF"/>
      <w:ind w:firstLine="20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