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xml:space="preserve">Table exhibiting the Value of Imports from and Exports to each Foreign country, during the Year ending on the </w:t>
      </w:r>
      <w:r>
        <w:rPr>
          <w:color w:val="000000"/>
          <w:spacing w:val="0"/>
          <w:w w:val="100"/>
          <w:position w:val="0"/>
          <w:shd w:val="clear" w:color="auto" w:fill="auto"/>
          <w:lang w:val="en-US" w:eastAsia="en-US" w:bidi="en-US"/>
        </w:rPr>
        <w:t>30</w:t>
      </w:r>
      <w:r>
        <w:rPr>
          <w:i/>
          <w:iCs/>
          <w:color w:val="000000"/>
          <w:spacing w:val="0"/>
          <w:w w:val="100"/>
          <w:position w:val="0"/>
          <w:shd w:val="clear" w:color="auto" w:fill="auto"/>
          <w:lang w:val="en-US" w:eastAsia="en-US" w:bidi="en-US"/>
        </w:rPr>
        <w:t>th September</w:t>
      </w:r>
      <w:r>
        <w:rPr>
          <w:color w:val="000000"/>
          <w:spacing w:val="0"/>
          <w:w w:val="100"/>
          <w:position w:val="0"/>
          <w:shd w:val="clear" w:color="auto" w:fill="auto"/>
          <w:lang w:val="en-US" w:eastAsia="en-US" w:bidi="en-US"/>
        </w:rPr>
        <w:t xml:space="preserve"> 1838.</w:t>
      </w:r>
    </w:p>
    <w:tbl>
      <w:tblPr>
        <w:tblOverlap w:val="never"/>
        <w:jc w:val="left"/>
        <w:tblLayout w:type="fixed"/>
      </w:tblPr>
      <w:tblGrid>
        <w:gridCol w:w="474"/>
        <w:gridCol w:w="3568"/>
        <w:gridCol w:w="1066"/>
        <w:gridCol w:w="1048"/>
        <w:gridCol w:w="1057"/>
        <w:gridCol w:w="1066"/>
      </w:tblGrid>
      <w:tr>
        <w:trPr>
          <w:trHeight w:val="292"/>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Countries.</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Value of Imports.</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Value of Exports.</w:t>
            </w:r>
          </w:p>
        </w:tc>
      </w:tr>
      <w:tr>
        <w:trPr>
          <w:trHeight w:val="296"/>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Domestic Produce.</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Foreign Produce.</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Total.</w:t>
            </w:r>
          </w:p>
        </w:tc>
      </w:tr>
      <w:tr>
        <w:trPr>
          <w:trHeight w:val="155"/>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Dollars.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de-DE" w:eastAsia="de-DE" w:bidi="de-DE"/>
              </w:rPr>
              <w:t>Dollars.</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Dollars.</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Dollars.</w:t>
            </w:r>
          </w:p>
        </w:tc>
      </w:tr>
      <w:tr>
        <w:trPr>
          <w:trHeight w:val="12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bottom"/>
          </w:tcPr>
          <w:p>
            <w:pPr>
              <w:pStyle w:val="Style6"/>
              <w:keepNext w:val="0"/>
              <w:keepLines w:val="0"/>
              <w:widowControl w:val="0"/>
              <w:shd w:val="clear" w:color="auto" w:fill="auto"/>
              <w:tabs>
                <w:tab w:leader="dot" w:pos="34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Russia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1,898,396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359,047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689,242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1,048,289</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2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Prussia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65,661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19,283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84,944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Sweden.....</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854,77∣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210,745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66,686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277,431</w:t>
            </w:r>
          </w:p>
        </w:tc>
      </w:tr>
      <w:tr>
        <w:trPr>
          <w:trHeight w:val="16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Swedish West Indies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46,019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74,140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4,281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78,421</w:t>
            </w:r>
          </w:p>
        </w:tc>
      </w:tr>
      <w:tr>
        <w:trPr>
          <w:trHeight w:val="12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Denmark</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27,118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98,081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24,750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122,831</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fr-FR" w:eastAsia="fr-FR" w:bidi="fr-FR"/>
              </w:rPr>
              <w:t>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Danish West Indies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1,6l 7,747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949,769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227,417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1,177-096</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Netherlands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1,180,897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2,555,979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398,269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2,954,248</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42" w:val="left"/>
                <w:tab w:leader="dot" w:pos="2292" w:val="left"/>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Dutch East Indies</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576,396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166,214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329,747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495,961</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Dutch West Indies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382,591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204,234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46,915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251,149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Dutch Guiana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54,354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62,775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2,073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70,848</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Belgium</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239,928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1,340,900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274,051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1,614,951</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England,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44,191,851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48,899,888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1,545,188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50,445,076</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Scotland</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594,665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1,685,203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10,776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1,695,979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481" w:val="left"/>
                <w:tab w:leader="dot" w:pos="1536" w:val="left"/>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Ireland</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38,555</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Gibraltar.....</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25,624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609,818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152,371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762,189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Malta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16,866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81,955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4,078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86,033</w:t>
            </w:r>
          </w:p>
        </w:tc>
      </w:tr>
      <w:tr>
        <w:trPr>
          <w:trHeight w:val="15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British East Indies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675,531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320,505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258,402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578,907</w:t>
            </w:r>
          </w:p>
        </w:tc>
      </w:tr>
      <w:tr>
        <w:trPr>
          <w:trHeight w:val="1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Cape of Good Hope</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12,034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22,718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22,718</w:t>
            </w:r>
          </w:p>
        </w:tc>
      </w:tr>
      <w:tr>
        <w:trPr>
          <w:trHeight w:val="16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39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Australia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30,538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33,546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34,362</w:t>
            </w:r>
          </w:p>
        </w:tc>
      </w:tr>
      <w:tr>
        <w:trPr>
          <w:trHeight w:val="11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659" w:val="left"/>
                <w:tab w:leader="dot" w:pos="1704" w:val="left"/>
                <w:tab w:leader="dot" w:pos="3026" w:val="left"/>
                <w:tab w:leader="dot" w:pos="3071" w:val="left"/>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British West Indies</w:t>
              <w:tab/>
              <w:tab/>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1,635,648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2,080,634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120,218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2,200,852</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British American Colonies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1,555,570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2,484,987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238,504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2,723,191</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691" w:val="left"/>
                <w:tab w:leader="dot" w:pos="1736" w:val="left"/>
                <w:tab w:leader="dot" w:pos="2880" w:val="left"/>
                <w:tab w:leader="dot" w:pos="2930" w:val="left"/>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British Honduras</w:t>
              <w:tab/>
              <w:tab/>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201,448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89,896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19,300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109,196</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71" w:val="left"/>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British Guiana</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36,043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1 45,532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522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146,054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2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Hanse Towns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2,847,358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2,625,802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665,843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3,291,645</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06" w:val="left"/>
                <w:tab w:leader="dot" w:pos="2347" w:val="left"/>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France, on the Atlantic</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16,823,112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13,089 649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976,967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14,068,616</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62" w:val="left"/>
                <w:tab w:leader="dot" w:pos="2803" w:val="left"/>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France, on the Med</w:t>
            </w:r>
            <w:r>
              <w:rPr>
                <w:color w:val="000000"/>
                <w:spacing w:val="0"/>
                <w:w w:val="100"/>
                <w:position w:val="0"/>
                <w:sz w:val="13"/>
                <w:szCs w:val="13"/>
                <w:shd w:val="clear" w:color="auto" w:fill="auto"/>
                <w:lang w:val="en-US" w:eastAsia="en-US" w:bidi="en-US"/>
              </w:rPr>
              <w:t>i</w:t>
            </w:r>
            <w:r>
              <w:rPr>
                <w:color w:val="000000"/>
                <w:spacing w:val="0"/>
                <w:w w:val="100"/>
                <w:position w:val="0"/>
                <w:sz w:val="13"/>
                <w:szCs w:val="13"/>
                <w:shd w:val="clear" w:color="auto" w:fill="auto"/>
                <w:lang w:val="en-US" w:eastAsia="en-US" w:bidi="en-US"/>
              </w:rPr>
              <w:t>terranian</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948,685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1,433,765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283,135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1,716,900</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07" w:val="left"/>
                <w:tab w:leader="dot" w:pos="2757" w:val="left"/>
                <w:tab w:leader="dot" w:pos="34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French West Indies</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310,050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430,008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38,889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468,897</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French Guiana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5,302</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 on the Atlantic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234,200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137,405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12,470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149,875</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43" w:val="left"/>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Spain, on the Mediterranean</w:t>
            </w:r>
            <w:r>
              <w:rPr>
                <w:color w:val="000000"/>
                <w:spacing w:val="0"/>
                <w:w w:val="100"/>
                <w:position w:val="0"/>
                <w:sz w:val="13"/>
                <w:szCs w:val="13"/>
                <w:shd w:val="clear" w:color="auto" w:fill="auto"/>
                <w:lang w:val="en-US" w:eastAsia="en-US" w:bidi="en-US"/>
              </w:rPr>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868,336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336,904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2,595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339,499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Teneriffe and other Canaries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151,366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34,619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18,686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53,305</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Manilla and Philippine Islands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386,528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93,214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149,303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242,517</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Cuba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11,694,812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4,721,133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1,454,325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6,175,758</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005" w:val="left"/>
                <w:tab w:leader="dot" w:pos="2060" w:val="left"/>
                <w:tab w:leader="dot" w:pos="2392" w:val="left"/>
                <w:tab w:leader="dot" w:pos="2443" w:val="left"/>
                <w:tab w:leader="dot" w:pos="2967" w:val="left"/>
                <w:tab w:leader="dot" w:pos="3021" w:val="left"/>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Other Spanish West Indies,</w:t>
              <w:tab/>
              <w:tab/>
              <w:tab/>
              <w:tab/>
              <w:tab/>
              <w:tab/>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692,508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30 484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723,052</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85" w:val="left"/>
                <w:tab w:leader="dot" w:pos="2939" w:val="left"/>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Portugal</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296,864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67,970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8,093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76,063</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Madeira</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366,274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36,422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4,535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400,957</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28" w:val="left"/>
                <w:tab w:leader="dot" w:pos="2183" w:val="left"/>
                <w:tab w:leader="dot" w:pos="344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Fa val and other Azores</w:t>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32,746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7,556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1 681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9,237</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Cape de Verd Islands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29,174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96,941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8 933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105,874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105" w:val="left"/>
                <w:tab w:leader="dot" w:pos="2155" w:val="left"/>
                <w:tab w:leader="dot" w:pos="3067" w:val="left"/>
                <w:tab w:leader="dot" w:pos="3108" w:val="left"/>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Italy</w:t>
              <w:tab/>
              <w:tab/>
              <w:tab/>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944,238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318,536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141,357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469,8⅛3</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Sicily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345,362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25,532</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21,813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47,345</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080" w:val="left"/>
                <w:tab w:leader="dot" w:pos="34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Sardinia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851</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pos="980" w:val="left"/>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la-001" w:eastAsia="la-001" w:bidi="la-001"/>
              </w:rPr>
              <w:t>Trieste</w:t>
            </w:r>
            <w:r>
              <w:rPr>
                <w:color w:val="000000"/>
                <w:spacing w:val="0"/>
                <w:w w:val="100"/>
                <w:position w:val="0"/>
                <w:sz w:val="13"/>
                <w:szCs w:val="13"/>
                <w:shd w:val="clear" w:color="auto" w:fill="auto"/>
                <w:lang w:val="en-US" w:eastAsia="en-US" w:bidi="en-US"/>
              </w:rPr>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372,378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643,223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125,740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768 963</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918" w:val="left"/>
                <w:tab w:leader="dot" w:pos="1973" w:val="left"/>
                <w:tab w:leader="dot" w:pos="3035" w:val="left"/>
                <w:tab w:leader="dot" w:pos="3081" w:val="left"/>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Turke V</w:t>
              <w:tab/>
              <w:tab/>
              <w:tab/>
              <w:tab/>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296,533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142,448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115,461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257,909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985" w:val="left"/>
                <w:tab w:leader="dot" w:pos="3035" w:val="left"/>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Greece,.......</w:t>
              <w:tab/>
              <w:tab/>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7,440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1,590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9,030</w:t>
            </w:r>
          </w:p>
        </w:tc>
      </w:tr>
      <w:tr>
        <w:trPr>
          <w:trHeight w:val="15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75" w:val="left"/>
                <w:tab w:leader="dot" w:pos="2971" w:val="left"/>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Morocco and Barbary States</w:t>
              <w:tab/>
              <w:t xml:space="preserve"> </w:t>
              <w:tab/>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10,174</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Hayti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1,275,762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814,421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95,834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910,255</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Texas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165,718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1,028,818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219,062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1,247,880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48</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3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Mexico</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3,500,709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1,040 906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1,123,191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2,164,097</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Central America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155,614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111,910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131,139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243,040</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33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Colombia</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1,615,24 9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406,564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318,175</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724,739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Brazil....</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3,191,238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2,094,957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562,237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2,657,194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Argentine Republic</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1,010,908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180,832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56,283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236,665</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53</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791" w:val="right"/>
                <w:tab w:leader="dot" w:pos="3076" w:val="left"/>
              </w:tabs>
              <w:bidi w:val="0"/>
              <w:spacing w:line="240" w:lineRule="auto"/>
              <w:ind w:left="0" w:firstLine="0"/>
              <w:jc w:val="left"/>
              <w:rPr>
                <w:sz w:val="13"/>
                <w:szCs w:val="13"/>
              </w:rPr>
            </w:pPr>
            <w:r>
              <w:rPr>
                <w:color w:val="000000"/>
                <w:spacing w:val="0"/>
                <w:w w:val="100"/>
                <w:position w:val="0"/>
                <w:sz w:val="13"/>
                <w:szCs w:val="13"/>
                <w:shd w:val="clear" w:color="auto" w:fill="auto"/>
                <w:lang w:val="fr-FR" w:eastAsia="fr-FR" w:bidi="fr-FR"/>
              </w:rPr>
              <w:t xml:space="preserve">Cisplatine </w:t>
            </w:r>
            <w:r>
              <w:rPr>
                <w:color w:val="000000"/>
                <w:spacing w:val="0"/>
                <w:w w:val="100"/>
                <w:position w:val="0"/>
                <w:sz w:val="13"/>
                <w:szCs w:val="13"/>
                <w:shd w:val="clear" w:color="auto" w:fill="auto"/>
                <w:lang w:val="en-US" w:eastAsia="en-US" w:bidi="en-US"/>
              </w:rPr>
              <w:t>Republic</w:t>
              <w:tab/>
              <w:t>..</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18,631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35,762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24,567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60,329</w:t>
            </w:r>
          </w:p>
        </w:tc>
      </w:tr>
      <w:tr>
        <w:trPr>
          <w:trHeight w:val="1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54</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98"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Chili</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942,095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1,047,572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322,692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1,370,264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55</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251" w:val="left"/>
                <w:tab w:leader="dot" w:pos="28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Peru</w:t>
              <w:tab/>
              <w:t xml:space="preserve"> </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633,437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163,868</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39,531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203,3S 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15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South America generally</w:t>
              <w:tab/>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1,875</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1,875</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57</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88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China</w:t>
              <w:tab/>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4,764,536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655,581</w:t>
            </w:r>
          </w:p>
        </w:tc>
        <w:tc>
          <w:tcPr>
            <w:vMerge w:val="restart"/>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861,021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1,516,602</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02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Europe generally</w:t>
              <w:tab/>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31,759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31,759</w:t>
            </w:r>
          </w:p>
        </w:tc>
      </w:tr>
      <w:tr>
        <w:trPr>
          <w:trHeight w:val="15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59</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17"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Asia generally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212,091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105,672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76,159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181,83)</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Africa generally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541,931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390,354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101,548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491,902</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61</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5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West Indies generally</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334,638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4,414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339,052</w:t>
            </w:r>
          </w:p>
        </w:tc>
      </w:tr>
      <w:tr>
        <w:trPr>
          <w:trHeight w:val="1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w:t>
            </w: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20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South Seas and Sandwich Islands</w:t>
              <w:tab/>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55,561</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60,684</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22,153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82,837</w:t>
            </w:r>
          </w:p>
        </w:tc>
      </w:tr>
      <w:tr>
        <w:trPr>
          <w:trHeight w:val="287"/>
        </w:trPr>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w:t>
            </w:r>
          </w:p>
        </w:tc>
        <w:tc>
          <w:tcPr>
            <w:tcBorders>
              <w:top w:val="single" w:sz="4"/>
              <w:left w:val="single" w:sz="4"/>
            </w:tcBorders>
            <w:shd w:val="clear" w:color="auto" w:fill="FFFFFF"/>
            <w:vAlign w:val="center"/>
          </w:tcPr>
          <w:p>
            <w:pPr>
              <w:pStyle w:val="Style6"/>
              <w:keepNext w:val="0"/>
              <w:keepLines w:val="0"/>
              <w:widowControl w:val="0"/>
              <w:shd w:val="clear" w:color="auto" w:fill="auto"/>
              <w:tabs>
                <w:tab w:leader="dot" w:pos="34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Uncertain places</w:t>
              <w:tab/>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9,186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92"/>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tabs>
                <w:tab w:leader="dot" w:pos="1754"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tab/>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113,717,404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96,033,821</w:t>
            </w:r>
          </w:p>
        </w:tc>
        <w:tc>
          <w:tcPr>
            <w:tcBorders>
              <w:top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12,452,795</w:t>
            </w:r>
          </w:p>
        </w:tc>
        <w:tc>
          <w:tcPr>
            <w:tcBorders>
              <w:top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108,486,616</w:t>
            </w:r>
          </w:p>
        </w:tc>
      </w:tr>
    </w:tbl>
    <w:p>
      <w:pPr>
        <w:sectPr>
          <w:footnotePr>
            <w:pos w:val="pageBottom"/>
            <w:numFmt w:val="decimal"/>
            <w:numRestart w:val="continuous"/>
          </w:footnotePr>
          <w:pgSz w:w="12240" w:h="15840"/>
          <w:pgMar w:top="1592" w:left="1905" w:right="1723" w:bottom="1447" w:header="0" w:footer="3" w:gutter="0"/>
          <w:cols w:space="720"/>
          <w:noEndnote/>
          <w:rtlGutter w:val="0"/>
          <w:docGrid w:linePitch="360"/>
        </w:sectPr>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these tables it will be seen, that foreign produce or manufactures constitute about one ninth of the exports. The leading articles chiefly consist of the produce of the land. Cotton forms about 60 per cent. of the domestic exports; wheat. Indian corn, and other bread-stuffs, 10 per cent.; tobacco 12 per cent.; lumber, bark, &amp;c. 3½ per cent. ; horses, beef, &amp;c. 2</w:t>
      </w:r>
      <w:r>
        <w:rPr>
          <w:color w:val="000000"/>
          <w:spacing w:val="0"/>
          <w:w w:val="100"/>
          <w:position w:val="0"/>
          <w:shd w:val="clear" w:color="auto" w:fill="auto"/>
          <w:lang w:val="en-US" w:eastAsia="en-US" w:bidi="en-US"/>
        </w:rPr>
        <w:t xml:space="preserve">½ </w:t>
      </w:r>
      <w:r>
        <w:rPr>
          <w:color w:val="000000"/>
          <w:spacing w:val="0"/>
          <w:w w:val="100"/>
          <w:position w:val="0"/>
          <w:shd w:val="clear" w:color="auto" w:fill="auto"/>
          <w:lang w:val="en-US" w:eastAsia="en-US" w:bidi="en-US"/>
        </w:rPr>
        <w:t xml:space="preserve">per cent. The leading imports are the fine products of the loom in wool, cotton, silk, </w:t>
      </w:r>
      <w:r>
        <w:rPr>
          <w:color w:val="000000"/>
          <w:spacing w:val="0"/>
          <w:w w:val="100"/>
          <w:position w:val="0"/>
          <w:shd w:val="clear" w:color="auto" w:fill="auto"/>
          <w:lang w:val="en-US" w:eastAsia="en-US" w:bidi="en-US"/>
        </w:rPr>
        <w:t>and linen, or articles not raised in the country, such as tea, coffee, sugar, and wine. In hemp, iron, and leather, the imports are small. Nearly one half of the whole im</w:t>
        <w:softHyphen/>
        <w:t>ports come from Britain, and only about one seventh from France.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internal and coasting trade of the United States has increased more rapidly than their foreign commerce, and is undoubtedly far greater than that of any other state with an</w:t>
      </w:r>
    </w:p>
    <w:sectPr>
      <w:footnotePr>
        <w:pos w:val="pageBottom"/>
        <w:numFmt w:val="decimal"/>
        <w:numRestart w:val="continuous"/>
      </w:footnotePr>
      <w:type w:val="continuous"/>
      <w:pgSz w:w="12240" w:h="15840"/>
      <w:pgMar w:top="1640" w:left="1945" w:right="1714" w:bottom="14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