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coal-field. In this district is situated the town of New</w:t>
        <w:softHyphen/>
        <w:t>castle, so called from the produce in its neighbourhood. This district was originally the place of transportation for the most incorrigible class of offenders from Port Jackson, who are worked in chains from sunrise to sunset, in burning lime and in procuring coals and timber. In con</w:t>
        <w:softHyphen/>
        <w:t>sequence of the fertility of the soil and the extent of water- communication, Hunter’s river being navigable for 200 miles with boats, numerous emigrants reside in good farms along the shores of the river, and the country resembles the richest pastoral scenery in Devonshire.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An account of the aborigines of New South Wales will be found under the article </w:t>
      </w:r>
      <w:r>
        <w:rPr>
          <w:smallCaps/>
          <w:color w:val="000000"/>
          <w:spacing w:val="0"/>
          <w:w w:val="100"/>
          <w:position w:val="0"/>
          <w:shd w:val="clear" w:color="auto" w:fill="auto"/>
          <w:lang w:val="en-US" w:eastAsia="en-US" w:bidi="en-US"/>
        </w:rPr>
        <w:t>Australasia.</w:t>
      </w:r>
      <w:r>
        <w:rPr>
          <w:color w:val="000000"/>
          <w:spacing w:val="0"/>
          <w:w w:val="100"/>
          <w:position w:val="0"/>
          <w:shd w:val="clear" w:color="auto" w:fill="auto"/>
          <w:lang w:val="en-US" w:eastAsia="en-US" w:bidi="en-US"/>
        </w:rPr>
        <w:t xml:space="preserve"> That they will in the end gradually disappear, is no longer doubtful. In new settlements of the Europeans, they generally perish in the conflicts which take place between them and the intrud</w:t>
        <w:softHyphen/>
        <w:t xml:space="preserve">ers ; but in New South Wales this enmity has subsided, and the most humane attempts have been made to reclaim them from their savage state. These efforts, however laudable, have been vain. Where the experiment has been tried under the most favourable circumstances, and they </w:t>
      </w:r>
      <w:r>
        <w:rPr>
          <w:color w:val="000000"/>
          <w:spacing w:val="0"/>
          <w:w w:val="100"/>
          <w:position w:val="0"/>
          <w:shd w:val="clear" w:color="auto" w:fill="auto"/>
          <w:lang w:val="en-US" w:eastAsia="en-US" w:bidi="en-US"/>
        </w:rPr>
        <w:t>have been provided with every comfort, they have invari</w:t>
        <w:softHyphen/>
        <w:t>ably relapsed into their primitive barbarity ; so that in this respect New Holland will afford no exception to the general experience, that as the civilized inhabitants increase, the sa</w:t>
        <w:softHyphen/>
        <w:t>vage race invariably disappears. The British colony, when it was first established in Sydney, consisted of 1030 indivi</w:t>
        <w:softHyphen/>
        <w:t>duals, 700 of whom were convicts ; and notwithstanding the discouragement of emigration by some of the authorities, the population, owing to the fineness of the climate and the number of convicts sent out, rapidly increased. A census has been taken at four different times, and the following is the result :</w:t>
      </w:r>
    </w:p>
    <w:tbl>
      <w:tblPr>
        <w:tblOverlap w:val="never"/>
        <w:jc w:val="left"/>
        <w:tblLayout w:type="fixed"/>
      </w:tblPr>
      <w:tblGrid>
        <w:gridCol w:w="3289"/>
      </w:tblGrid>
      <w:tr>
        <w:trPr>
          <w:trHeight w:val="218"/>
        </w:trPr>
        <w:tc>
          <w:tcPr>
            <w:tcBorders/>
            <w:shd w:val="clear" w:color="auto" w:fill="FFFFFF"/>
            <w:vAlign w:val="bottom"/>
          </w:tcPr>
          <w:p>
            <w:pPr>
              <w:pStyle w:val="Style6"/>
              <w:keepNext w:val="0"/>
              <w:keepLines w:val="0"/>
              <w:widowControl w:val="0"/>
              <w:shd w:val="clear" w:color="auto" w:fill="auto"/>
              <w:tabs>
                <w:tab w:leader="dot" w:pos="3191" w:val="right"/>
              </w:tabs>
              <w:bidi w:val="0"/>
              <w:spacing w:line="240" w:lineRule="auto"/>
              <w:ind w:left="0" w:firstLine="0"/>
              <w:jc w:val="left"/>
            </w:pPr>
            <w:r>
              <w:rPr>
                <w:color w:val="000000"/>
                <w:spacing w:val="0"/>
                <w:w w:val="100"/>
                <w:position w:val="0"/>
                <w:shd w:val="clear" w:color="auto" w:fill="auto"/>
                <w:lang w:val="en-US" w:eastAsia="en-US" w:bidi="en-US"/>
              </w:rPr>
              <w:t>1810</w:t>
              <w:tab/>
              <w:t xml:space="preserve"> 8,293</w:t>
            </w:r>
          </w:p>
        </w:tc>
      </w:tr>
      <w:tr>
        <w:trPr>
          <w:trHeight w:val="186"/>
        </w:trPr>
        <w:tc>
          <w:tcPr>
            <w:tcBorders>
              <w:top w:val="single" w:sz="4"/>
            </w:tcBorders>
            <w:shd w:val="clear" w:color="auto" w:fill="FFFFFF"/>
            <w:vAlign w:val="bottom"/>
          </w:tcPr>
          <w:p>
            <w:pPr>
              <w:pStyle w:val="Style6"/>
              <w:keepNext w:val="0"/>
              <w:keepLines w:val="0"/>
              <w:widowControl w:val="0"/>
              <w:shd w:val="clear" w:color="auto" w:fill="auto"/>
              <w:tabs>
                <w:tab w:leader="dot" w:pos="3191" w:val="right"/>
              </w:tabs>
              <w:bidi w:val="0"/>
              <w:spacing w:line="240" w:lineRule="auto"/>
              <w:ind w:left="0" w:firstLine="0"/>
              <w:jc w:val="left"/>
            </w:pPr>
            <w:r>
              <w:rPr>
                <w:color w:val="000000"/>
                <w:spacing w:val="0"/>
                <w:w w:val="100"/>
                <w:position w:val="0"/>
                <w:shd w:val="clear" w:color="auto" w:fill="auto"/>
                <w:lang w:val="en-US" w:eastAsia="en-US" w:bidi="en-US"/>
              </w:rPr>
              <w:t>1821</w:t>
              <w:tab/>
              <w:t>29,783</w:t>
            </w:r>
          </w:p>
        </w:tc>
      </w:tr>
      <w:tr>
        <w:trPr>
          <w:trHeight w:val="181"/>
        </w:trPr>
        <w:tc>
          <w:tcPr>
            <w:tcBorders>
              <w:top w:val="single" w:sz="4"/>
            </w:tcBorders>
            <w:shd w:val="clear" w:color="auto" w:fill="FFFFFF"/>
            <w:vAlign w:val="bottom"/>
          </w:tcPr>
          <w:p>
            <w:pPr>
              <w:pStyle w:val="Style6"/>
              <w:keepNext w:val="0"/>
              <w:keepLines w:val="0"/>
              <w:widowControl w:val="0"/>
              <w:shd w:val="clear" w:color="auto" w:fill="auto"/>
              <w:tabs>
                <w:tab w:leader="dot" w:pos="3196" w:val="right"/>
              </w:tabs>
              <w:bidi w:val="0"/>
              <w:spacing w:line="240" w:lineRule="auto"/>
              <w:ind w:left="0" w:firstLine="0"/>
              <w:jc w:val="left"/>
            </w:pPr>
            <w:r>
              <w:rPr>
                <w:color w:val="000000"/>
                <w:spacing w:val="0"/>
                <w:w w:val="100"/>
                <w:position w:val="0"/>
                <w:shd w:val="clear" w:color="auto" w:fill="auto"/>
                <w:lang w:val="en-US" w:eastAsia="en-US" w:bidi="en-US"/>
              </w:rPr>
              <w:t>1828</w:t>
              <w:tab/>
              <w:t>36,598</w:t>
            </w:r>
          </w:p>
        </w:tc>
      </w:tr>
      <w:tr>
        <w:trPr>
          <w:trHeight w:val="232"/>
        </w:trPr>
        <w:tc>
          <w:tcPr>
            <w:tcBorders>
              <w:top w:val="single" w:sz="4"/>
              <w:bottom w:val="single" w:sz="4"/>
            </w:tcBorders>
            <w:shd w:val="clear" w:color="auto" w:fill="FFFFFF"/>
            <w:vAlign w:val="top"/>
          </w:tcPr>
          <w:p>
            <w:pPr>
              <w:pStyle w:val="Style6"/>
              <w:keepNext w:val="0"/>
              <w:keepLines w:val="0"/>
              <w:widowControl w:val="0"/>
              <w:shd w:val="clear" w:color="auto" w:fill="auto"/>
              <w:tabs>
                <w:tab w:leader="dot" w:pos="3205" w:val="right"/>
              </w:tabs>
              <w:bidi w:val="0"/>
              <w:spacing w:line="240" w:lineRule="auto"/>
              <w:ind w:left="0" w:firstLine="0"/>
              <w:jc w:val="left"/>
            </w:pPr>
            <w:r>
              <w:rPr>
                <w:color w:val="000000"/>
                <w:spacing w:val="0"/>
                <w:w w:val="100"/>
                <w:position w:val="0"/>
                <w:shd w:val="clear" w:color="auto" w:fill="auto"/>
                <w:lang w:val="en-US" w:eastAsia="en-US" w:bidi="en-US"/>
              </w:rPr>
              <w:t>1833</w:t>
              <w:tab/>
              <w:t>71,070</w:t>
            </w:r>
          </w:p>
        </w:tc>
      </w:tr>
    </w:tbl>
    <w:p>
      <w:pPr>
        <w:widowControl w:val="0"/>
        <w:spacing w:after="39" w:line="1" w:lineRule="exact"/>
      </w:pP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00" w:left="1793" w:right="1603" w:bottom="1263" w:header="0" w:footer="3" w:gutter="0"/>
          <w:cols w:space="720"/>
          <w:noEndnote/>
          <w:rtlGutter w:val="0"/>
          <w:docGrid w:linePitch="360"/>
        </w:sectPr>
      </w:pPr>
      <w:r>
        <w:rPr>
          <w:color w:val="000000"/>
          <w:spacing w:val="0"/>
          <w:w w:val="100"/>
          <w:position w:val="0"/>
          <w:shd w:val="clear" w:color="auto" w:fill="auto"/>
          <w:lang w:val="en-US" w:eastAsia="en-US" w:bidi="en-US"/>
        </w:rPr>
        <w:t>The following is a more particular account and classifi</w:t>
        <w:softHyphen/>
        <w:t>cation of the inhabitants in the colony of New South Wales, according to a census taken on the 2d September 1836.</w:t>
      </w:r>
    </w:p>
    <w:tbl>
      <w:tblPr>
        <w:tblOverlap w:val="never"/>
        <w:jc w:val="left"/>
        <w:tblLayout w:type="fixed"/>
      </w:tblPr>
      <w:tblGrid>
        <w:gridCol w:w="1389"/>
        <w:gridCol w:w="641"/>
        <w:gridCol w:w="483"/>
        <w:gridCol w:w="636"/>
        <w:gridCol w:w="632"/>
        <w:gridCol w:w="636"/>
        <w:gridCol w:w="483"/>
        <w:gridCol w:w="488"/>
        <w:gridCol w:w="627"/>
        <w:gridCol w:w="646"/>
        <w:gridCol w:w="646"/>
        <w:gridCol w:w="641"/>
        <w:gridCol w:w="334"/>
        <w:gridCol w:w="311"/>
      </w:tblGrid>
      <w:tr>
        <w:trPr>
          <w:trHeight w:val="321"/>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b/>
                <w:bCs/>
                <w:color w:val="000000"/>
                <w:spacing w:val="0"/>
                <w:w w:val="100"/>
                <w:position w:val="0"/>
                <w:sz w:val="11"/>
                <w:szCs w:val="11"/>
                <w:shd w:val="clear" w:color="auto" w:fill="auto"/>
                <w:lang w:val="en-US" w:eastAsia="en-US" w:bidi="en-US"/>
              </w:rPr>
              <w:t>COUNTIES.</w:t>
            </w:r>
          </w:p>
        </w:tc>
        <w:tc>
          <w:tcPr>
            <w:gridSpan w:val="8"/>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PERSONS ON THE ESTABLISHMENT.</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94" w:lineRule="auto"/>
              <w:ind w:left="0" w:firstLine="0"/>
              <w:jc w:val="left"/>
              <w:rPr>
                <w:sz w:val="12"/>
                <w:szCs w:val="12"/>
              </w:rPr>
            </w:pPr>
            <w:r>
              <w:rPr>
                <w:b/>
                <w:bCs/>
                <w:color w:val="000000"/>
                <w:spacing w:val="0"/>
                <w:w w:val="100"/>
                <w:position w:val="0"/>
                <w:sz w:val="12"/>
                <w:szCs w:val="12"/>
                <w:shd w:val="clear" w:color="auto" w:fill="auto"/>
                <w:lang w:val="en-US" w:eastAsia="en-US" w:bidi="en-US"/>
              </w:rPr>
              <w:t>General Total.</w:t>
            </w:r>
          </w:p>
        </w:tc>
        <w:tc>
          <w:tcPr>
            <w:gridSpan w:val="4"/>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b/>
                <w:bCs/>
                <w:color w:val="000000"/>
                <w:spacing w:val="0"/>
                <w:w w:val="100"/>
                <w:position w:val="0"/>
                <w:sz w:val="11"/>
                <w:szCs w:val="11"/>
                <w:shd w:val="clear" w:color="auto" w:fill="auto"/>
                <w:lang w:val="en-US" w:eastAsia="en-US" w:bidi="en-US"/>
              </w:rPr>
              <w:t>RELIGION.</w:t>
            </w:r>
          </w:p>
        </w:tc>
      </w:tr>
      <w:tr>
        <w:trPr>
          <w:trHeight w:val="325"/>
        </w:trPr>
        <w:tc>
          <w:tcPr>
            <w:vMerge/>
            <w:tcBorders>
              <w:left w:val="single" w:sz="4"/>
            </w:tcBorders>
            <w:shd w:val="clear" w:color="auto" w:fill="FFFFFF"/>
            <w:vAlign w:val="center"/>
          </w:tcPr>
          <w:p>
            <w:pP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MALES.</w:t>
            </w:r>
          </w:p>
        </w:tc>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FEMALES.</w:t>
            </w:r>
          </w:p>
        </w:tc>
        <w:tc>
          <w:tcPr>
            <w:vMerge/>
            <w:tcBorders>
              <w:left w:val="single" w:sz="4"/>
            </w:tcBorders>
            <w:shd w:val="clear" w:color="auto" w:fill="FFFFFF"/>
            <w:vAlign w:val="center"/>
          </w:tcPr>
          <w:p>
            <w:pPr/>
          </w:p>
        </w:tc>
        <w:tc>
          <w:tcPr>
            <w:gridSpan w:val="4"/>
            <w:vMerge/>
            <w:tcBorders>
              <w:left w:val="single" w:sz="4"/>
              <w:right w:val="single" w:sz="4"/>
            </w:tcBorders>
            <w:shd w:val="clear" w:color="auto" w:fill="FFFFFF"/>
            <w:vAlign w:val="center"/>
          </w:tcPr>
          <w:p>
            <w:pPr/>
          </w:p>
        </w:tc>
      </w:tr>
      <w:tr>
        <w:trPr>
          <w:trHeight w:val="288"/>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Free.</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Convict.</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Total.</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Free.</w:t>
            </w:r>
          </w:p>
        </w:tc>
        <w:tc>
          <w:tcPr>
            <w:vMerge w:val="restart"/>
            <w:tcBorders>
              <w:top w:val="single" w:sz="4"/>
              <w:left w:val="single" w:sz="4"/>
            </w:tcBorders>
            <w:shd w:val="clear" w:color="auto" w:fill="FFFFFF"/>
            <w:vAlign w:val="center"/>
          </w:tcPr>
          <w:p>
            <w:pPr>
              <w:widowControl w:val="0"/>
              <w:rPr>
                <w:sz w:val="10"/>
                <w:szCs w:val="10"/>
              </w:rPr>
            </w:pP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Convict.</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Total.</w:t>
            </w: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94" w:lineRule="auto"/>
              <w:ind w:left="0" w:firstLine="0"/>
              <w:jc w:val="left"/>
              <w:rPr>
                <w:sz w:val="12"/>
                <w:szCs w:val="12"/>
              </w:rPr>
            </w:pPr>
            <w:r>
              <w:rPr>
                <w:b/>
                <w:bCs/>
                <w:color w:val="000000"/>
                <w:spacing w:val="0"/>
                <w:w w:val="100"/>
                <w:position w:val="0"/>
                <w:sz w:val="12"/>
                <w:szCs w:val="12"/>
                <w:shd w:val="clear" w:color="auto" w:fill="auto"/>
                <w:lang w:val="en-US" w:eastAsia="en-US" w:bidi="en-US"/>
              </w:rPr>
              <w:t>Protes</w:t>
              <w:softHyphen/>
              <w:t>tants.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Roman catholics.</w:t>
            </w:r>
          </w:p>
        </w:tc>
        <w:tc>
          <w:tcPr>
            <w:vMerge w:val="restart"/>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Jews.</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rPr>
                <w:sz w:val="12"/>
                <w:szCs w:val="12"/>
              </w:rPr>
            </w:pPr>
            <w:r>
              <w:rPr>
                <w:b/>
                <w:bCs/>
                <w:color w:val="000000"/>
                <w:spacing w:val="0"/>
                <w:w w:val="100"/>
                <w:position w:val="0"/>
                <w:sz w:val="12"/>
                <w:szCs w:val="12"/>
                <w:shd w:val="clear" w:color="auto" w:fill="auto"/>
                <w:lang w:val="en-US" w:eastAsia="en-US" w:bidi="en-US"/>
              </w:rPr>
              <w:t>Pa</w:t>
              <w:softHyphen/>
              <w:t>gans.</w:t>
            </w:r>
          </w:p>
        </w:tc>
      </w:tr>
      <w:tr>
        <w:trPr>
          <w:trHeight w:val="613"/>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Above Twelve Years of Age.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4" w:lineRule="auto"/>
              <w:ind w:left="0" w:firstLine="0"/>
              <w:jc w:val="left"/>
              <w:rPr>
                <w:sz w:val="12"/>
                <w:szCs w:val="12"/>
              </w:rPr>
            </w:pPr>
            <w:r>
              <w:rPr>
                <w:b/>
                <w:bCs/>
                <w:color w:val="000000"/>
                <w:spacing w:val="0"/>
                <w:w w:val="100"/>
                <w:position w:val="0"/>
                <w:sz w:val="12"/>
                <w:szCs w:val="12"/>
                <w:shd w:val="clear" w:color="auto" w:fill="auto"/>
                <w:lang w:val="en-US" w:eastAsia="en-US" w:bidi="en-US"/>
              </w:rPr>
              <w:t>Under Twelve</w:t>
            </w:r>
          </w:p>
          <w:p>
            <w:pPr>
              <w:pStyle w:val="Style6"/>
              <w:keepNext w:val="0"/>
              <w:keepLines w:val="0"/>
              <w:widowControl w:val="0"/>
              <w:shd w:val="clear" w:color="auto" w:fill="auto"/>
              <w:bidi w:val="0"/>
              <w:spacing w:line="194" w:lineRule="auto"/>
              <w:ind w:left="0" w:firstLine="0"/>
              <w:jc w:val="left"/>
              <w:rPr>
                <w:sz w:val="12"/>
                <w:szCs w:val="12"/>
              </w:rPr>
            </w:pPr>
            <w:r>
              <w:rPr>
                <w:b/>
                <w:bCs/>
                <w:color w:val="000000"/>
                <w:spacing w:val="0"/>
                <w:w w:val="100"/>
                <w:position w:val="0"/>
                <w:sz w:val="12"/>
                <w:szCs w:val="12"/>
                <w:shd w:val="clear" w:color="auto" w:fill="auto"/>
                <w:lang w:val="en-US" w:eastAsia="en-US" w:bidi="en-US"/>
              </w:rPr>
              <w:t>Years of Age.</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360"/>
              <w:jc w:val="left"/>
              <w:rPr>
                <w:sz w:val="12"/>
                <w:szCs w:val="12"/>
              </w:rPr>
            </w:pPr>
            <w:r>
              <w:rPr>
                <w:b/>
                <w:bCs/>
                <w:color w:val="000000"/>
                <w:spacing w:val="0"/>
                <w:w w:val="100"/>
                <w:position w:val="0"/>
                <w:sz w:val="12"/>
                <w:szCs w:val="12"/>
                <w:shd w:val="clear" w:color="auto" w:fill="auto"/>
                <w:lang w:val="en-US" w:eastAsia="en-US" w:bidi="en-US"/>
              </w:rPr>
              <w:t>Above Twelve Years of Age.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Under Twelve</w:t>
            </w:r>
          </w:p>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Years of Age.</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3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Argyle</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1,929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488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2,417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r>
      <w:tr>
        <w:trPr>
          <w:trHeight w:val="149"/>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33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Bathurst</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no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1,729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1,243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Bligh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3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Brisbane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3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Camden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787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3,161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2,158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r>
      <w:tr>
        <w:trPr>
          <w:trHeight w:val="163"/>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33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Cook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678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702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2,052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42"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Cumberland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12,724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4,810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7,254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24,788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8,454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15,009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39,797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29,090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10,270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371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63</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Durham</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33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Georgiana</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192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3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Gloucester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b/>
                <w:bCs/>
                <w:i/>
                <w:iCs/>
                <w:color w:val="000000"/>
                <w:spacing w:val="0"/>
                <w:w w:val="100"/>
                <w:position w:val="0"/>
                <w:sz w:val="15"/>
                <w:szCs w:val="15"/>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3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Hunter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r>
      <w:tr>
        <w:trPr>
          <w:trHeight w:val="158"/>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33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King</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194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544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Macquarrie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202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3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Murray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3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Northumberland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3,607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5,016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3,601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p>
        </w:tc>
      </w:tr>
      <w:tr>
        <w:trPr>
          <w:trHeight w:val="149"/>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33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Philip</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247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Roxburgh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352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1,980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r>
      <w:tr>
        <w:trPr>
          <w:trHeight w:val="149"/>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33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St Vincent</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592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8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Wellington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l-GR" w:eastAsia="el-GR" w:bidi="el-GR"/>
              </w:rPr>
              <w:t>ί</w:t>
            </w:r>
          </w:p>
        </w:tc>
        <w:tc>
          <w:tcPr>
            <w:tcBorders>
              <w:left w:val="single" w:sz="4"/>
              <w:right w:val="single" w:sz="4"/>
            </w:tcBorders>
            <w:shd w:val="clear" w:color="auto" w:fill="FFFFFF"/>
            <w:vAlign w:val="top"/>
          </w:tcPr>
          <w:p>
            <w:pPr>
              <w:widowControl w:val="0"/>
              <w:rPr>
                <w:sz w:val="10"/>
                <w:szCs w:val="10"/>
              </w:rPr>
            </w:pPr>
          </w:p>
        </w:tc>
      </w:tr>
      <w:tr>
        <w:trPr>
          <w:trHeight w:val="2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Westmoreland</w:t>
              <w:tab/>
            </w:r>
          </w:p>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37</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479</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fr-FR" w:eastAsia="fr-FR" w:bidi="fr-FR"/>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393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185</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r>
      <w:tr>
        <w:trPr>
          <w:trHeight w:val="167"/>
        </w:trPr>
        <w:tc>
          <w:tcPr>
            <w:tcBorders>
              <w:left w:val="single" w:sz="4"/>
            </w:tcBorders>
            <w:shd w:val="clear" w:color="auto" w:fill="FFFFFF"/>
            <w:vAlign w:val="bottom"/>
          </w:tcPr>
          <w:p>
            <w:pPr>
              <w:pStyle w:val="Style6"/>
              <w:keepNext w:val="0"/>
              <w:keepLines w:val="0"/>
              <w:widowControl w:val="0"/>
              <w:shd w:val="clear" w:color="auto" w:fill="auto"/>
              <w:tabs>
                <w:tab w:leader="dot" w:pos="1297" w:val="righ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Without the boundaries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2,659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309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2,968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tc>
      </w:tr>
      <w:tr>
        <w:trPr>
          <w:trHeight w:val="181"/>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Road &amp; ironed gangs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2,212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1,394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w:t>
            </w:r>
          </w:p>
        </w:tc>
        <w:tc>
          <w:tcPr>
            <w:tcBorders>
              <w:left w:val="single" w:sz="4"/>
              <w:right w:val="single" w:sz="4"/>
            </w:tcBorders>
            <w:shd w:val="clear" w:color="auto" w:fill="FFFFFF"/>
            <w:vAlign w:val="top"/>
          </w:tcPr>
          <w:p>
            <w:pPr>
              <w:widowControl w:val="0"/>
              <w:rPr>
                <w:sz w:val="10"/>
                <w:szCs w:val="10"/>
              </w:rPr>
            </w:pPr>
          </w:p>
        </w:tc>
      </w:tr>
      <w:tr>
        <w:trPr>
          <w:trHeight w:val="16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Penal settlements....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left w:val="single" w:sz="4"/>
              <w:right w:val="single" w:sz="4"/>
            </w:tcBorders>
            <w:shd w:val="clear" w:color="auto" w:fill="FFFFFF"/>
            <w:vAlign w:val="top"/>
          </w:tcPr>
          <w:p>
            <w:pPr>
              <w:widowControl w:val="0"/>
              <w:rPr>
                <w:sz w:val="10"/>
                <w:szCs w:val="10"/>
              </w:rPr>
            </w:pPr>
          </w:p>
        </w:tc>
      </w:tr>
      <w:tr>
        <w:trPr>
          <w:trHeight w:val="149"/>
        </w:trPr>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Colonial vessels at sea</w:t>
            </w:r>
          </w:p>
          <w:p>
            <w:pPr>
              <w:pStyle w:val="Style6"/>
              <w:keepNext w:val="0"/>
              <w:keepLines w:val="0"/>
              <w:widowControl w:val="0"/>
              <w:shd w:val="clear" w:color="auto" w:fill="auto"/>
              <w:tabs>
                <w:tab w:leader="dot" w:pos="133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Port Philip</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r>
      <w:tr>
        <w:trPr>
          <w:trHeight w:val="251"/>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178</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15</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224</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r>
      <w:tr>
        <w:trPr>
          <w:trHeight w:val="297"/>
        </w:trPr>
        <w:tc>
          <w:tcPr>
            <w:tcBorders>
              <w:left w:val="single" w:sz="4"/>
              <w:bottom w:val="single" w:sz="4"/>
            </w:tcBorders>
            <w:shd w:val="clear" w:color="auto" w:fill="FFFFFF"/>
            <w:vAlign w:val="center"/>
          </w:tcPr>
          <w:p>
            <w:pPr>
              <w:pStyle w:val="Style6"/>
              <w:keepNext w:val="0"/>
              <w:keepLines w:val="0"/>
              <w:widowControl w:val="0"/>
              <w:shd w:val="clear" w:color="auto" w:fill="auto"/>
              <w:tabs>
                <w:tab w:leader="dot" w:pos="1341"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Total</w:t>
              <w:tab/>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23,121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7,164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25,254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55,539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11,973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7,007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21,557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77,096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54,621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21,895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w:t>
            </w:r>
          </w:p>
        </w:tc>
      </w:tr>
    </w:tbl>
    <w:p>
      <w:pPr>
        <w:sectPr>
          <w:footnotePr>
            <w:pos w:val="pageBottom"/>
            <w:numFmt w:val="decimal"/>
            <w:numRestart w:val="continuous"/>
          </w:footnotePr>
          <w:type w:val="continuous"/>
          <w:pgSz w:w="12240" w:h="15840"/>
          <w:pgMar w:top="1490" w:left="1992" w:right="1440" w:bottom="1349" w:header="0" w:footer="3" w:gutter="0"/>
          <w:cols w:space="720"/>
          <w:noEndnote/>
          <w:rtlGutter w:val="0"/>
          <w:docGrid w:linePitch="360"/>
        </w:sectPr>
      </w:pP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total number of white inhabitants now in the colony is estimated at upwards of 100,000, of whom 25,000 are convicts, the residue of upwards of 90,000 who have been transported to the settlement since 1788. The population is divided into three classes : 1. the free settlers who have arrived in the colony, and their descendants ; 2. those who have served their legal term, or who are free by par</w:t>
        <w:softHyphen/>
        <w:t>don, the reward of good behaviour, and their descendants ; and, 3. the convicts who are still in bondage. The convicts, when they arrive in New Holland, are conveyed, the male and the female prisoners, to different stations or barracks, which are surrounded by a high wall, and guarded by sol</w:t>
        <w:softHyphen/>
        <w:t>diers and several constables. The convicts are assigned as agricultural, manufacturing, or domestic labourers, to far</w:t>
        <w:softHyphen/>
      </w:r>
      <w:r>
        <w:rPr>
          <w:color w:val="000000"/>
          <w:spacing w:val="0"/>
          <w:w w:val="100"/>
          <w:position w:val="0"/>
          <w:shd w:val="clear" w:color="auto" w:fill="auto"/>
          <w:lang w:val="en-US" w:eastAsia="en-US" w:bidi="en-US"/>
        </w:rPr>
        <w:t>mers and townspeople, who, in return for their services, are bound to provide them with food and clothing. Upwards of three fifths of all the prisoners in the colony are provid</w:t>
        <w:softHyphen/>
        <w:t>ed for in this manner. After serving a certain time with an unblemished character, the convict is entitled to a “ticket of leave,” which makes him free within the district over which it extends ; and if he does not forfeit this ticket by any crime for a certain number of years, he is then en</w:t>
        <w:softHyphen/>
        <w:t>titled to a conditional pardon, which makes him free with</w:t>
        <w:softHyphen/>
        <w:t>in the precincts of the colony. And this system is found by experience to be attended with the most beneficial re</w:t>
        <w:softHyphen/>
        <w:t>sults. “ On every side,” says Montgomery Martin, in his account of this colony, “ the traveller witnesses proofs of an industrious and prosperous community ; he beholds ships,</w:t>
      </w:r>
    </w:p>
    <w:sectPr>
      <w:footnotePr>
        <w:pos w:val="pageBottom"/>
        <w:numFmt w:val="decimal"/>
        <w:numRestart w:val="continuous"/>
      </w:footnotePr>
      <w:type w:val="continuous"/>
      <w:pgSz w:w="12240" w:h="15840"/>
      <w:pgMar w:top="1475" w:left="1849" w:right="1584" w:bottom="13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