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contemporaries is indicated in the fact that he was the only gaon who had not been educated and then advanced by degrees in the academy, to the highest dignity of which he was called from a far-off country, but best appears in the excellence of his many works, which extend over most branches of learning known in his time. And his learning was exceeded by his manifold virtues. His love of truth and justice was made more conspicuous by the darkness of the corruption amid which he lived. When the </w:t>
      </w:r>
      <w:r>
        <w:rPr>
          <w:spacing w:val="0"/>
          <w:w w:val="100"/>
          <w:position w:val="0"/>
          <w:shd w:val="clear" w:color="auto" w:fill="auto"/>
          <w:lang w:val="fr-FR" w:eastAsia="fr-FR" w:bidi="fr-FR"/>
        </w:rPr>
        <w:t>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sh </w:t>
      </w:r>
      <w:r>
        <w:rPr>
          <w:spacing w:val="0"/>
          <w:w w:val="100"/>
          <w:position w:val="0"/>
          <w:shd w:val="clear" w:color="auto" w:fill="auto"/>
          <w:lang w:val="de-DE" w:eastAsia="de-DE" w:bidi="de-DE"/>
        </w:rPr>
        <w:t>g</w:t>
      </w:r>
      <w:r>
        <w:rPr>
          <w:spacing w:val="0"/>
          <w:w w:val="100"/>
          <w:position w:val="0"/>
          <w:shd w:val="clear" w:color="auto" w:fill="auto"/>
          <w:lang w:val="en-US" w:eastAsia="en-US" w:bidi="en-US"/>
        </w:rPr>
        <w:t>ā</w:t>
      </w:r>
      <w:r>
        <w:rPr>
          <w:spacing w:val="0"/>
          <w:w w:val="100"/>
          <w:position w:val="0"/>
          <w:shd w:val="clear" w:color="auto" w:fill="auto"/>
          <w:lang w:val="de-DE" w:eastAsia="de-DE" w:bidi="de-DE"/>
        </w:rPr>
        <w:t>luth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(“prince of the captivity,” the highest dignitary of the Jews in Babylonia, and to some extent of those of the whole world) attempted to wrest judgment in a certain case, and first asked, then requested, and finally demanded the signature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of the gaon of </w:t>
      </w:r>
      <w:r>
        <w:rPr>
          <w:spacing w:val="0"/>
          <w:w w:val="100"/>
          <w:position w:val="0"/>
          <w:shd w:val="clear" w:color="auto" w:fill="auto"/>
          <w:lang w:val="de-DE" w:eastAsia="de-DE" w:bidi="de-DE"/>
        </w:rPr>
        <w:t>S</w:t>
      </w:r>
      <w:r>
        <w:rPr>
          <w:spacing w:val="0"/>
          <w:w w:val="100"/>
          <w:position w:val="0"/>
          <w:shd w:val="clear" w:color="auto" w:fill="auto"/>
          <w:lang w:val="en-US" w:eastAsia="en-US" w:bidi="en-US"/>
        </w:rPr>
        <w:t>ū</w:t>
      </w:r>
      <w:r>
        <w:rPr>
          <w:spacing w:val="0"/>
          <w:w w:val="100"/>
          <w:position w:val="0"/>
          <w:shd w:val="clear" w:color="auto" w:fill="auto"/>
          <w:lang w:val="de-DE" w:eastAsia="de-DE" w:bidi="de-DE"/>
        </w:rPr>
        <w:t>r</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in a threaten</w:t>
        <w:softHyphen/>
        <w:t xml:space="preserve">ing manner, Se'adyah refused it, fearless of consequences. David b. Zakkai, the </w:t>
      </w:r>
      <w:r>
        <w:rPr>
          <w:spacing w:val="0"/>
          <w:w w:val="100"/>
          <w:position w:val="0"/>
          <w:shd w:val="clear" w:color="auto" w:fill="auto"/>
          <w:lang w:val="fr-FR" w:eastAsia="fr-FR" w:bidi="fr-FR"/>
        </w:rPr>
        <w:t>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sh </w:t>
      </w:r>
      <w:r>
        <w:rPr>
          <w:spacing w:val="0"/>
          <w:w w:val="100"/>
          <w:position w:val="0"/>
          <w:shd w:val="clear" w:color="auto" w:fill="auto"/>
          <w:lang w:val="de-DE" w:eastAsia="de-DE" w:bidi="de-DE"/>
        </w:rPr>
        <w:t>g</w:t>
      </w:r>
      <w:r>
        <w:rPr>
          <w:spacing w:val="0"/>
          <w:w w:val="100"/>
          <w:position w:val="0"/>
          <w:shd w:val="clear" w:color="auto" w:fill="auto"/>
          <w:lang w:val="en-US" w:eastAsia="en-US" w:bidi="en-US"/>
        </w:rPr>
        <w:t>ā</w:t>
      </w:r>
      <w:r>
        <w:rPr>
          <w:spacing w:val="0"/>
          <w:w w:val="100"/>
          <w:position w:val="0"/>
          <w:shd w:val="clear" w:color="auto" w:fill="auto"/>
          <w:lang w:val="de-DE" w:eastAsia="de-DE" w:bidi="de-DE"/>
        </w:rPr>
        <w:t>luth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deposed him and chose another gaon in his stead. A reconciliation took place some years afterwards, and Se'adyah was reinstated in his old dignity. And, although his health had been fatally undermined by the behaviour of the </w:t>
      </w:r>
      <w:r>
        <w:rPr>
          <w:spacing w:val="0"/>
          <w:w w:val="100"/>
          <w:position w:val="0"/>
          <w:shd w:val="clear" w:color="auto" w:fill="auto"/>
          <w:lang w:val="fr-FR" w:eastAsia="fr-FR" w:bidi="fr-FR"/>
        </w:rPr>
        <w:t>r</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sh </w:t>
      </w:r>
      <w:r>
        <w:rPr>
          <w:spacing w:val="0"/>
          <w:w w:val="100"/>
          <w:position w:val="0"/>
          <w:shd w:val="clear" w:color="auto" w:fill="auto"/>
          <w:lang w:val="de-DE" w:eastAsia="de-DE" w:bidi="de-DE"/>
        </w:rPr>
        <w:t>g</w:t>
      </w:r>
      <w:r>
        <w:rPr>
          <w:spacing w:val="0"/>
          <w:w w:val="100"/>
          <w:position w:val="0"/>
          <w:shd w:val="clear" w:color="auto" w:fill="auto"/>
          <w:lang w:val="en-US" w:eastAsia="en-US" w:bidi="en-US"/>
        </w:rPr>
        <w:t>ā</w:t>
      </w:r>
      <w:r>
        <w:rPr>
          <w:spacing w:val="0"/>
          <w:w w:val="100"/>
          <w:position w:val="0"/>
          <w:shd w:val="clear" w:color="auto" w:fill="auto"/>
          <w:lang w:val="de-DE" w:eastAsia="de-DE" w:bidi="de-DE"/>
        </w:rPr>
        <w:t>luth</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his son, Se'adyah, when his former opponent died, was indefatigable in his endeavours to have this very son of his once mortal enemy placed on the throne of his fathers. But the new prince of the captivity enjoyed his dignity for little more than half a year. He left behind him a boy, twelve years of age, whom Se'adyah took into his own house and treated in every respect as his own child. This learning and these virtues endeared Se'adyah not merely to his contemporaries but also to the best men of succeeding ages. Behayye b. Yoseph (the author of the </w:t>
      </w:r>
      <w:r>
        <w:rPr>
          <w:i/>
          <w:iCs/>
          <w:spacing w:val="0"/>
          <w:w w:val="100"/>
          <w:position w:val="0"/>
          <w:shd w:val="clear" w:color="auto" w:fill="auto"/>
          <w:lang w:val="en-US" w:eastAsia="en-US" w:bidi="en-US"/>
        </w:rPr>
        <w:t>Hoboth Hallebaboth),</w:t>
      </w:r>
      <w:r>
        <w:rPr>
          <w:spacing w:val="0"/>
          <w:w w:val="100"/>
          <w:position w:val="0"/>
          <w:shd w:val="clear" w:color="auto" w:fill="auto"/>
          <w:lang w:val="en-US" w:eastAsia="en-US" w:bidi="en-US"/>
        </w:rPr>
        <w:t xml:space="preserve"> Rashi, Se'adyah (the author of the commentary on Daniel in the Rabbinic Bible), David Kimḥi, Behayye b. Asher (the author of </w:t>
      </w:r>
      <w:r>
        <w:rPr>
          <w:i/>
          <w:iCs/>
          <w:spacing w:val="0"/>
          <w:w w:val="100"/>
          <w:position w:val="0"/>
          <w:shd w:val="clear" w:color="auto" w:fill="auto"/>
          <w:lang w:val="en-US" w:eastAsia="en-US" w:bidi="en-US"/>
        </w:rPr>
        <w:t xml:space="preserve">Kad Haḳḳemah), </w:t>
      </w:r>
      <w:r>
        <w:rPr>
          <w:spacing w:val="0"/>
          <w:w w:val="100"/>
          <w:position w:val="0"/>
          <w:shd w:val="clear" w:color="auto" w:fill="auto"/>
          <w:lang w:val="en-US" w:eastAsia="en-US" w:bidi="en-US"/>
        </w:rPr>
        <w:t>all appeal to him as an authority not to be questioned. Even Ibn 'Ezra defers more to him than to any other authority. To this day Jewish and Christian scholars alike express for him the highest admiration.</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numerous works which are ascribed to him may be con</w:t>
        <w:softHyphen/>
        <w:t>veniently divided into four classes.</w:t>
      </w:r>
    </w:p>
    <w:p>
      <w:pPr>
        <w:pStyle w:val="Style6"/>
        <w:keepNext w:val="0"/>
        <w:keepLines w:val="0"/>
        <w:widowControl w:val="0"/>
        <w:shd w:val="clear" w:color="auto" w:fill="auto"/>
        <w:tabs>
          <w:tab w:pos="1159" w:val="left"/>
        </w:tabs>
        <w:bidi w:val="0"/>
        <w:ind w:left="0" w:firstLine="360"/>
        <w:jc w:val="left"/>
      </w:pPr>
      <w:r>
        <w:rPr>
          <w:spacing w:val="0"/>
          <w:w w:val="100"/>
          <w:position w:val="0"/>
          <w:shd w:val="clear" w:color="auto" w:fill="auto"/>
          <w:lang w:val="en-US" w:eastAsia="en-US" w:bidi="en-US"/>
        </w:rPr>
        <w:t xml:space="preserve">I. </w:t>
      </w:r>
      <w:r>
        <w:rPr>
          <w:i/>
          <w:iCs/>
          <w:spacing w:val="0"/>
          <w:w w:val="100"/>
          <w:position w:val="0"/>
          <w:shd w:val="clear" w:color="auto" w:fill="auto"/>
          <w:lang w:val="en-US" w:eastAsia="en-US" w:bidi="en-US"/>
        </w:rPr>
        <w:t>Genuine and still extant Works.—</w:t>
      </w:r>
      <w:r>
        <w:rPr>
          <w:spacing w:val="0"/>
          <w:w w:val="100"/>
          <w:position w:val="0"/>
          <w:shd w:val="clear" w:color="auto" w:fill="auto"/>
          <w:lang w:val="en-US" w:eastAsia="en-US" w:bidi="en-US"/>
        </w:rPr>
        <w:t>(1) Arabic translations of, and in part commentaries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on, books of the Bible : (a) the Penta</w:t>
        <w:softHyphen/>
        <w:t xml:space="preserve">teuch (printed in Hebrew characters, Constantinople, 1546, fob, and in Arabic characters in the Paris and London </w:t>
      </w:r>
      <w:r>
        <w:rPr>
          <w:spacing w:val="0"/>
          <w:w w:val="100"/>
          <w:position w:val="0"/>
          <w:shd w:val="clear" w:color="auto" w:fill="auto"/>
          <w:lang w:val="de-DE" w:eastAsia="de-DE" w:bidi="de-DE"/>
        </w:rPr>
        <w:t xml:space="preserve">polyglotte)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 </w:t>
      </w:r>
      <w:r>
        <w:rPr>
          <w:spacing w:val="0"/>
          <w:w w:val="100"/>
          <w:position w:val="0"/>
          <w:shd w:val="clear" w:color="auto" w:fill="auto"/>
          <w:lang w:val="en-US" w:eastAsia="en-US" w:bidi="en-US"/>
        </w:rPr>
        <w:t>Isaiah (printed in Arabic characters from Hebrew letters of the Bodleian MS. Uri 156,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by Paulus, Jena, 1790-91, 8vo) ; (c) Psalms </w:t>
      </w:r>
      <w:r>
        <w:rPr>
          <w:spacing w:val="0"/>
          <w:w w:val="100"/>
          <w:position w:val="0"/>
          <w:shd w:val="clear" w:color="auto" w:fill="auto"/>
          <w:lang w:val="de-DE" w:eastAsia="de-DE" w:bidi="de-DE"/>
        </w:rPr>
        <w:t xml:space="preserve">(Ewald, </w:t>
      </w:r>
      <w:r>
        <w:rPr>
          <w:i/>
          <w:iCs/>
          <w:spacing w:val="0"/>
          <w:w w:val="100"/>
          <w:position w:val="0"/>
          <w:shd w:val="clear" w:color="auto" w:fill="auto"/>
          <w:lang w:val="en-US" w:eastAsia="en-US" w:bidi="en-US"/>
        </w:rPr>
        <w:t xml:space="preserve">Ueber die </w:t>
      </w:r>
      <w:r>
        <w:rPr>
          <w:i/>
          <w:iCs/>
          <w:spacing w:val="0"/>
          <w:w w:val="100"/>
          <w:position w:val="0"/>
          <w:shd w:val="clear" w:color="auto" w:fill="auto"/>
          <w:lang w:val="de-DE" w:eastAsia="de-DE" w:bidi="de-DE"/>
        </w:rPr>
        <w:t>arabisch geschriebenen Werke jüdischer Sprach</w:t>
        <w:softHyphen/>
        <w:t>gelehrten,</w:t>
      </w:r>
      <w:r>
        <w:rPr>
          <w:spacing w:val="0"/>
          <w:w w:val="100"/>
          <w:position w:val="0"/>
          <w:shd w:val="clear" w:color="auto" w:fill="auto"/>
          <w:lang w:val="de-DE" w:eastAsia="de-DE" w:bidi="de-DE"/>
        </w:rPr>
        <w:t xml:space="preserve"> Stuttgart, </w:t>
      </w:r>
      <w:r>
        <w:rPr>
          <w:spacing w:val="0"/>
          <w:w w:val="100"/>
          <w:position w:val="0"/>
          <w:shd w:val="clear" w:color="auto" w:fill="auto"/>
          <w:lang w:val="en-US" w:eastAsia="en-US" w:bidi="en-US"/>
        </w:rPr>
        <w:t xml:space="preserve">1844, </w:t>
      </w:r>
      <w:r>
        <w:rPr>
          <w:spacing w:val="0"/>
          <w:w w:val="100"/>
          <w:position w:val="0"/>
          <w:shd w:val="clear" w:color="auto" w:fill="auto"/>
          <w:lang w:val="de-DE" w:eastAsia="de-DE" w:bidi="de-DE"/>
        </w:rPr>
        <w:t>8vo) ; (</w:t>
      </w:r>
      <w:r>
        <w:rPr>
          <w:i/>
          <w:iCs/>
          <w:spacing w:val="0"/>
          <w:w w:val="100"/>
          <w:position w:val="0"/>
          <w:shd w:val="clear" w:color="auto" w:fill="auto"/>
          <w:lang w:val="de-DE" w:eastAsia="de-DE" w:bidi="de-DE"/>
        </w:rPr>
        <w:t>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Proverbs (Bodleian MS. Uri 15) </w:t>
      </w:r>
      <w:r>
        <w:rPr>
          <w:spacing w:val="0"/>
          <w:w w:val="100"/>
          <w:position w:val="0"/>
          <w:shd w:val="clear" w:color="auto" w:fill="auto"/>
          <w:lang w:val="de-DE" w:eastAsia="de-DE" w:bidi="de-DE"/>
        </w:rPr>
        <w:t>; (</w:t>
      </w:r>
      <w:r>
        <w:rPr>
          <w:i/>
          <w:iCs/>
          <w:spacing w:val="0"/>
          <w:w w:val="100"/>
          <w:position w:val="0"/>
          <w:shd w:val="clear" w:color="auto" w:fill="auto"/>
          <w:lang w:val="de-DE" w:eastAsia="de-DE" w:bidi="de-DE"/>
        </w:rPr>
        <w:t>e</w:t>
      </w:r>
      <w:r>
        <w:rPr>
          <w:spacing w:val="0"/>
          <w:w w:val="100"/>
          <w:position w:val="0"/>
          <w:shd w:val="clear" w:color="auto" w:fill="auto"/>
          <w:lang w:val="de-DE" w:eastAsia="de-DE" w:bidi="de-DE"/>
        </w:rPr>
        <w:t xml:space="preserve">) Job (Uri </w:t>
      </w:r>
      <w:r>
        <w:rPr>
          <w:spacing w:val="0"/>
          <w:w w:val="100"/>
          <w:position w:val="0"/>
          <w:shd w:val="clear" w:color="auto" w:fill="auto"/>
          <w:lang w:val="en-US" w:eastAsia="en-US" w:bidi="en-US"/>
        </w:rPr>
        <w:t xml:space="preserve">45) </w:t>
      </w:r>
      <w:r>
        <w:rPr>
          <w:spacing w:val="0"/>
          <w:w w:val="100"/>
          <w:position w:val="0"/>
          <w:shd w:val="clear" w:color="auto" w:fill="auto"/>
          <w:lang w:val="de-DE" w:eastAsia="de-DE" w:bidi="de-DE"/>
        </w:rPr>
        <w:t>; (</w:t>
      </w:r>
      <w:r>
        <w:rPr>
          <w:i/>
          <w:iCs/>
          <w:spacing w:val="0"/>
          <w:w w:val="100"/>
          <w:position w:val="0"/>
          <w:shd w:val="clear" w:color="auto" w:fill="auto"/>
          <w:lang w:val="de-DE" w:eastAsia="de-DE" w:bidi="de-DE"/>
        </w:rPr>
        <w:t>f</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Canticles </w:t>
      </w:r>
      <w:r>
        <w:rPr>
          <w:spacing w:val="0"/>
          <w:w w:val="100"/>
          <w:position w:val="0"/>
          <w:shd w:val="clear" w:color="auto" w:fill="auto"/>
          <w:lang w:val="de-DE" w:eastAsia="de-DE" w:bidi="de-DE"/>
        </w:rPr>
        <w:t xml:space="preserve">(Merx, </w:t>
      </w:r>
      <w:r>
        <w:rPr>
          <w:i/>
          <w:iCs/>
          <w:spacing w:val="0"/>
          <w:w w:val="100"/>
          <w:position w:val="0"/>
          <w:shd w:val="clear" w:color="auto" w:fill="auto"/>
          <w:lang w:val="de-DE" w:eastAsia="de-DE" w:bidi="de-DE"/>
        </w:rPr>
        <w:t xml:space="preserve">Die </w:t>
      </w:r>
      <w:r>
        <w:rPr>
          <w:i/>
          <w:iCs/>
          <w:spacing w:val="0"/>
          <w:w w:val="100"/>
          <w:position w:val="0"/>
          <w:shd w:val="clear" w:color="auto" w:fill="auto"/>
          <w:lang w:val="en-US" w:eastAsia="en-US" w:bidi="en-US"/>
        </w:rPr>
        <w:t xml:space="preserve">Saadjanische Ueber- </w:t>
      </w:r>
      <w:r>
        <w:rPr>
          <w:i/>
          <w:iCs/>
          <w:spacing w:val="0"/>
          <w:w w:val="100"/>
          <w:position w:val="0"/>
          <w:shd w:val="clear" w:color="auto" w:fill="auto"/>
          <w:lang w:val="de-DE" w:eastAsia="de-DE" w:bidi="de-DE"/>
        </w:rPr>
        <w:t>setzung des Hohen Liedes ins Arabische,</w:t>
      </w:r>
      <w:r>
        <w:rPr>
          <w:spacing w:val="0"/>
          <w:w w:val="100"/>
          <w:position w:val="0"/>
          <w:shd w:val="clear" w:color="auto" w:fill="auto"/>
          <w:lang w:val="de-DE" w:eastAsia="de-DE" w:bidi="de-DE"/>
        </w:rPr>
        <w:t xml:space="preserve"> Heidelberg, </w:t>
      </w:r>
      <w:r>
        <w:rPr>
          <w:spacing w:val="0"/>
          <w:w w:val="100"/>
          <w:position w:val="0"/>
          <w:shd w:val="clear" w:color="auto" w:fill="auto"/>
          <w:lang w:val="en-US" w:eastAsia="en-US" w:bidi="en-US"/>
        </w:rPr>
        <w:t xml:space="preserve">1882, </w:t>
      </w:r>
      <w:r>
        <w:rPr>
          <w:spacing w:val="0"/>
          <w:w w:val="100"/>
          <w:position w:val="0"/>
          <w:shd w:val="clear" w:color="auto" w:fill="auto"/>
          <w:lang w:val="de-DE" w:eastAsia="de-DE" w:bidi="de-DE"/>
        </w:rPr>
        <w:t xml:space="preserve">8vo). </w:t>
      </w:r>
      <w:r>
        <w:rPr>
          <w:spacing w:val="0"/>
          <w:w w:val="100"/>
          <w:position w:val="0"/>
          <w:shd w:val="clear" w:color="auto" w:fill="auto"/>
          <w:lang w:val="en-US" w:eastAsia="en-US" w:bidi="en-US"/>
        </w:rPr>
        <w:t xml:space="preserve">(2) Hebrew Lexicography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Seventy (90 or 91)</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ἅ</w:t>
      </w:r>
      <w:r>
        <w:rPr>
          <w:i/>
          <w:iCs/>
          <w:spacing w:val="0"/>
          <w:w w:val="100"/>
          <w:position w:val="0"/>
          <w:shd w:val="clear" w:color="auto" w:fill="auto"/>
          <w:lang w:val="el-GR" w:eastAsia="el-GR" w:bidi="el-GR"/>
        </w:rPr>
        <w:t xml:space="preserve">παξ </w:t>
      </w:r>
      <w:r>
        <w:rPr>
          <w:i/>
          <w:iCs/>
          <w:spacing w:val="0"/>
          <w:w w:val="100"/>
          <w:position w:val="0"/>
          <w:shd w:val="clear" w:color="auto" w:fill="auto"/>
          <w:lang w:val="el-GR" w:eastAsia="el-GR" w:bidi="el-GR"/>
        </w:rPr>
        <w:t>λεγ</w:t>
      </w:r>
      <w:r>
        <w:rPr>
          <w:i/>
          <w:iCs/>
          <w:spacing w:val="0"/>
          <w:w w:val="100"/>
          <w:position w:val="0"/>
          <w:shd w:val="clear" w:color="auto" w:fill="auto"/>
          <w:lang w:val="en-US" w:eastAsia="en-US" w:bidi="en-US"/>
        </w:rPr>
        <w:t>ό</w:t>
      </w:r>
      <w:r>
        <w:rPr>
          <w:i/>
          <w:iCs/>
          <w:spacing w:val="0"/>
          <w:w w:val="100"/>
          <w:position w:val="0"/>
          <w:shd w:val="clear" w:color="auto" w:fill="auto"/>
          <w:lang w:val="el-GR" w:eastAsia="el-GR" w:bidi="el-GR"/>
        </w:rPr>
        <w:t>με</w:t>
      </w:r>
      <w:r>
        <w:rPr>
          <w:i/>
          <w:iCs/>
          <w:spacing w:val="0"/>
          <w:w w:val="100"/>
          <w:position w:val="0"/>
          <w:shd w:val="clear" w:color="auto" w:fill="auto"/>
          <w:lang w:val="en-US" w:eastAsia="en-US" w:bidi="en-US"/>
        </w:rPr>
        <w:t>v</w:t>
      </w:r>
      <w:r>
        <w:rPr>
          <w:i/>
          <w:iCs/>
          <w:spacing w:val="0"/>
          <w:w w:val="100"/>
          <w:position w:val="0"/>
          <w:shd w:val="clear" w:color="auto" w:fill="auto"/>
          <w:lang w:val="el-GR" w:eastAsia="el-GR" w:bidi="el-GR"/>
        </w:rPr>
        <w:t>α</w:t>
      </w:r>
      <w:r>
        <w:rPr>
          <w:spacing w:val="0"/>
          <w:w w:val="100"/>
          <w:position w:val="0"/>
          <w:shd w:val="clear" w:color="auto" w:fill="auto"/>
          <w:lang w:val="en-US" w:eastAsia="en-US" w:bidi="en-US"/>
        </w:rPr>
        <w:t xml:space="preserve"> to be found in the Bible, published from the Bodl. MS. Hunt. 573, by Dukes (Z. </w:t>
      </w:r>
      <w:r>
        <w:rPr>
          <w:i/>
          <w:iCs/>
          <w:spacing w:val="0"/>
          <w:w w:val="100"/>
          <w:position w:val="0"/>
          <w:shd w:val="clear" w:color="auto" w:fill="auto"/>
          <w:lang w:val="en-US" w:eastAsia="en-US" w:bidi="en-US"/>
        </w:rPr>
        <w:t>K. M.,</w:t>
      </w:r>
      <w:r>
        <w:rPr>
          <w:spacing w:val="0"/>
          <w:w w:val="100"/>
          <w:position w:val="0"/>
          <w:shd w:val="clear" w:color="auto" w:fill="auto"/>
          <w:lang w:val="en-US" w:eastAsia="en-US" w:bidi="en-US"/>
        </w:rPr>
        <w:t xml:space="preserve"> v. 6) and by Benjacob </w:t>
      </w:r>
      <w:r>
        <w:rPr>
          <w:i/>
          <w:iCs/>
          <w:spacing w:val="0"/>
          <w:w w:val="100"/>
          <w:position w:val="0"/>
          <w:shd w:val="clear" w:color="auto" w:fill="auto"/>
          <w:lang w:val="en-US" w:eastAsia="en-US" w:bidi="en-US"/>
        </w:rPr>
        <w:t>(Debarim Attikim,</w:t>
      </w:r>
      <w:r>
        <w:rPr>
          <w:spacing w:val="0"/>
          <w:w w:val="100"/>
          <w:position w:val="0"/>
          <w:shd w:val="clear" w:color="auto" w:fill="auto"/>
          <w:lang w:val="en-US" w:eastAsia="en-US" w:bidi="en-US"/>
        </w:rPr>
        <w:t xml:space="preserve"> i., Leipsic, 1844).</w:t>
        <w:tab/>
        <w:t xml:space="preserve">(3) Talmudic Literature : (a) Decisions (incorporated in </w:t>
      </w:r>
      <w:r>
        <w:rPr>
          <w:i/>
          <w:iCs/>
          <w:spacing w:val="0"/>
          <w:w w:val="100"/>
          <w:position w:val="0"/>
          <w:shd w:val="clear" w:color="auto" w:fill="auto"/>
          <w:lang w:val="en-US" w:eastAsia="en-US" w:bidi="en-US"/>
        </w:rPr>
        <w:t>'Ittur,</w:t>
      </w:r>
      <w:r>
        <w:rPr>
          <w:spacing w:val="0"/>
          <w:w w:val="100"/>
          <w:position w:val="0"/>
          <w:shd w:val="clear" w:color="auto" w:fill="auto"/>
          <w:lang w:val="en-US" w:eastAsia="en-US" w:bidi="en-US"/>
        </w:rPr>
        <w:t xml:space="preserve"> Venice, 1608, fol. ; and in the book of </w:t>
      </w:r>
      <w:r>
        <w:rPr>
          <w:i/>
          <w:iCs/>
          <w:spacing w:val="0"/>
          <w:w w:val="100"/>
          <w:position w:val="0"/>
          <w:shd w:val="clear" w:color="auto" w:fill="auto"/>
          <w:lang w:val="en-US" w:eastAsia="en-US" w:bidi="en-US"/>
        </w:rPr>
        <w:t>Responsa, Sha'are Sedek,</w:t>
      </w:r>
      <w:r>
        <w:rPr>
          <w:spacing w:val="0"/>
          <w:w w:val="100"/>
          <w:position w:val="0"/>
          <w:shd w:val="clear" w:color="auto" w:fill="auto"/>
          <w:lang w:val="en-US" w:eastAsia="en-US" w:bidi="en-US"/>
        </w:rPr>
        <w:t xml:space="preserve"> Salonica, 1792, 4to) ; </w:t>
      </w:r>
      <w:r>
        <w:rPr>
          <w:spacing w:val="0"/>
          <w:w w:val="100"/>
          <w:position w:val="0"/>
          <w:shd w:val="clear" w:color="auto" w:fill="auto"/>
          <w:lang w:val="el-GR" w:eastAsia="el-GR" w:bidi="el-GR"/>
        </w:rPr>
        <w:t xml:space="preserve">(δ) </w:t>
      </w:r>
      <w:r>
        <w:rPr>
          <w:spacing w:val="0"/>
          <w:w w:val="100"/>
          <w:position w:val="0"/>
          <w:shd w:val="clear" w:color="auto" w:fill="auto"/>
          <w:lang w:val="en-US" w:eastAsia="en-US" w:bidi="en-US"/>
        </w:rPr>
        <w:t>On the laws of inheritance (Bodl. MS. Hunt. 630).</w:t>
        <w:tab/>
        <w:t>(4) Liturgy, both in prose and poetry :</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Siddur</w:t>
      </w:r>
      <w:r>
        <w:rPr>
          <w:spacing w:val="0"/>
          <w:w w:val="100"/>
          <w:position w:val="0"/>
          <w:shd w:val="clear" w:color="auto" w:fill="auto"/>
          <w:lang w:val="en-US" w:eastAsia="en-US" w:bidi="en-US"/>
        </w:rPr>
        <w:t xml:space="preserve"> (Bodleian MS. Uri 261);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w:t>
      </w:r>
      <w:r>
        <w:rPr>
          <w:i/>
          <w:iCs/>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i/>
          <w:iCs/>
          <w:spacing w:val="0"/>
          <w:w w:val="100"/>
          <w:position w:val="0"/>
          <w:shd w:val="clear" w:color="auto" w:fill="auto"/>
          <w:lang w:val="de-DE" w:eastAsia="de-DE" w:bidi="de-DE"/>
        </w:rPr>
        <w:t xml:space="preserve">Arabischer Midrasch </w:t>
      </w:r>
      <w:r>
        <w:rPr>
          <w:i/>
          <w:iCs/>
          <w:spacing w:val="0"/>
          <w:w w:val="100"/>
          <w:position w:val="0"/>
          <w:shd w:val="clear" w:color="auto" w:fill="auto"/>
          <w:lang w:val="en-US" w:eastAsia="en-US" w:bidi="en-US"/>
        </w:rPr>
        <w:t>(!)</w:t>
      </w:r>
    </w:p>
    <w:p>
      <w:pPr>
        <w:pStyle w:val="Style6"/>
        <w:keepNext w:val="0"/>
        <w:keepLines w:val="0"/>
        <w:widowControl w:val="0"/>
        <w:shd w:val="clear" w:color="auto" w:fill="auto"/>
        <w:tabs>
          <w:tab w:pos="972" w:val="left"/>
        </w:tabs>
        <w:bidi w:val="0"/>
        <w:ind w:left="0" w:firstLine="0"/>
        <w:jc w:val="left"/>
      </w:pPr>
      <w:r>
        <w:rPr>
          <w:i/>
          <w:iCs/>
          <w:spacing w:val="0"/>
          <w:w w:val="100"/>
          <w:position w:val="0"/>
          <w:shd w:val="clear" w:color="auto" w:fill="auto"/>
          <w:lang w:val="de-DE" w:eastAsia="de-DE" w:bidi="de-DE"/>
        </w:rPr>
        <w:t>zu den Zehn Geboten,</w:t>
      </w:r>
      <w:r>
        <w:rPr>
          <w:spacing w:val="0"/>
          <w:w w:val="100"/>
          <w:position w:val="0"/>
          <w:shd w:val="clear" w:color="auto" w:fill="auto"/>
          <w:lang w:val="de-DE" w:eastAsia="de-DE" w:bidi="de-DE"/>
        </w:rPr>
        <w:t xml:space="preserve"> in </w:t>
      </w:r>
      <w:r>
        <w:rPr>
          <w:spacing w:val="0"/>
          <w:w w:val="100"/>
          <w:position w:val="0"/>
          <w:shd w:val="clear" w:color="auto" w:fill="auto"/>
          <w:lang w:val="en-US" w:eastAsia="en-US" w:bidi="en-US"/>
        </w:rPr>
        <w:t>Hebrew letters (MS. Jellinek of Vienna, with Hebrew and German translation by W. Eisenstadter, Vienna, 1868, 8vo).</w:t>
        <w:tab/>
        <w:t>(5) Religious Philosophy: (a) Commentary on the</w:t>
      </w:r>
    </w:p>
    <w:p>
      <w:pPr>
        <w:pStyle w:val="Style6"/>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Sepher Yesirah,</w:t>
      </w:r>
      <w:r>
        <w:rPr>
          <w:spacing w:val="0"/>
          <w:w w:val="100"/>
          <w:position w:val="0"/>
          <w:shd w:val="clear" w:color="auto" w:fill="auto"/>
          <w:lang w:val="en-US" w:eastAsia="en-US" w:bidi="en-US"/>
        </w:rPr>
        <w:t xml:space="preserve"> MS. Uri 370 </w:t>
      </w:r>
      <w:r>
        <w:rPr>
          <w:i/>
          <w:iCs/>
          <w:spacing w:val="0"/>
          <w:w w:val="100"/>
          <w:position w:val="0"/>
          <w:shd w:val="clear" w:color="auto" w:fill="auto"/>
          <w:lang w:val="en-US" w:eastAsia="en-US" w:bidi="en-US"/>
        </w:rPr>
        <w:t>{Opp. Add.,</w:t>
      </w:r>
      <w:r>
        <w:rPr>
          <w:spacing w:val="0"/>
          <w:w w:val="100"/>
          <w:position w:val="0"/>
          <w:shd w:val="clear" w:color="auto" w:fill="auto"/>
          <w:lang w:val="en-US" w:eastAsia="en-US" w:bidi="en-US"/>
        </w:rPr>
        <w:t xml:space="preserve"> 4to, 89), contains the ear</w:t>
        <w:softHyphen/>
        <w:t xml:space="preserve">lier part of </w:t>
      </w:r>
      <w:r>
        <w:rPr>
          <w:spacing w:val="0"/>
          <w:w w:val="100"/>
          <w:position w:val="0"/>
          <w:shd w:val="clear" w:color="auto" w:fill="auto"/>
          <w:lang w:val="fr-FR" w:eastAsia="fr-FR" w:bidi="fr-FR"/>
        </w:rPr>
        <w:t xml:space="preserve">a </w:t>
      </w:r>
      <w:r>
        <w:rPr>
          <w:spacing w:val="0"/>
          <w:w w:val="100"/>
          <w:position w:val="0"/>
          <w:shd w:val="clear" w:color="auto" w:fill="auto"/>
          <w:lang w:val="de-DE" w:eastAsia="de-DE" w:bidi="de-DE"/>
        </w:rPr>
        <w:t xml:space="preserve">Heb. </w:t>
      </w:r>
      <w:r>
        <w:rPr>
          <w:spacing w:val="0"/>
          <w:w w:val="100"/>
          <w:position w:val="0"/>
          <w:shd w:val="clear" w:color="auto" w:fill="auto"/>
          <w:lang w:val="en-US" w:eastAsia="en-US" w:bidi="en-US"/>
        </w:rPr>
        <w:t xml:space="preserve">trans, in a modern hand ; </w:t>
      </w:r>
      <w:r>
        <w:rPr>
          <w:spacing w:val="0"/>
          <w:w w:val="100"/>
          <w:position w:val="0"/>
          <w:shd w:val="clear" w:color="auto" w:fill="auto"/>
          <w:lang w:val="el-GR" w:eastAsia="el-GR" w:bidi="el-GR"/>
        </w:rPr>
        <w:t xml:space="preserve">(δ) </w:t>
      </w:r>
      <w:r>
        <w:rPr>
          <w:i/>
          <w:iCs/>
          <w:spacing w:val="0"/>
          <w:w w:val="100"/>
          <w:position w:val="0"/>
          <w:shd w:val="clear" w:color="auto" w:fill="auto"/>
          <w:lang w:val="en-US" w:eastAsia="en-US" w:bidi="en-US"/>
        </w:rPr>
        <w:t xml:space="preserve">Kitab </w:t>
      </w:r>
      <w:r>
        <w:rPr>
          <w:i/>
          <w:iCs/>
          <w:spacing w:val="0"/>
          <w:w w:val="100"/>
          <w:position w:val="0"/>
          <w:shd w:val="clear" w:color="auto" w:fill="auto"/>
          <w:lang w:val="fr-FR" w:eastAsia="fr-FR" w:bidi="fr-FR"/>
        </w:rPr>
        <w:t>al-</w:t>
      </w:r>
      <w:r>
        <w:rPr>
          <w:i/>
          <w:iCs/>
          <w:spacing w:val="0"/>
          <w:w w:val="100"/>
          <w:position w:val="0"/>
          <w:shd w:val="clear" w:color="auto" w:fill="auto"/>
          <w:lang w:val="en-US" w:eastAsia="en-US" w:bidi="en-US"/>
        </w:rPr>
        <w:t>Amânât wa'l-I'tiqâdât</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(Landauer, Leyden, </w:t>
      </w:r>
      <w:r>
        <w:rPr>
          <w:spacing w:val="0"/>
          <w:w w:val="100"/>
          <w:position w:val="0"/>
          <w:shd w:val="clear" w:color="auto" w:fill="auto"/>
          <w:lang w:val="en-US" w:eastAsia="en-US" w:bidi="en-US"/>
        </w:rPr>
        <w:t xml:space="preserve">1880, </w:t>
      </w:r>
      <w:r>
        <w:rPr>
          <w:spacing w:val="0"/>
          <w:w w:val="100"/>
          <w:position w:val="0"/>
          <w:shd w:val="clear" w:color="auto" w:fill="auto"/>
          <w:lang w:val="de-DE" w:eastAsia="de-DE" w:bidi="de-DE"/>
        </w:rPr>
        <w:t xml:space="preserve">8vo), </w:t>
      </w:r>
      <w:r>
        <w:rPr>
          <w:spacing w:val="0"/>
          <w:w w:val="100"/>
          <w:position w:val="0"/>
          <w:shd w:val="clear" w:color="auto" w:fill="auto"/>
          <w:lang w:val="en-US" w:eastAsia="en-US" w:bidi="en-US"/>
        </w:rPr>
        <w:t>translated into Hebrew by Yehudah Ibn Tibbon (</w:t>
      </w:r>
      <w:r>
        <w:rPr>
          <w:i/>
          <w:iCs/>
          <w:spacing w:val="0"/>
          <w:w w:val="100"/>
          <w:position w:val="0"/>
          <w:shd w:val="clear" w:color="auto" w:fill="auto"/>
          <w:lang w:val="en-US" w:eastAsia="en-US" w:bidi="en-US"/>
        </w:rPr>
        <w:t>editio princeps,</w:t>
      </w:r>
      <w:r>
        <w:rPr>
          <w:spacing w:val="0"/>
          <w:w w:val="100"/>
          <w:position w:val="0"/>
          <w:shd w:val="clear" w:color="auto" w:fill="auto"/>
          <w:lang w:val="en-US" w:eastAsia="en-US" w:bidi="en-US"/>
        </w:rPr>
        <w:t xml:space="preserve"> Constantinople, 1562, 4to), and by R. Berekhyah Hannakdan, author of the </w:t>
      </w:r>
      <w:r>
        <w:rPr>
          <w:i/>
          <w:iCs/>
          <w:spacing w:val="0"/>
          <w:w w:val="100"/>
          <w:position w:val="0"/>
          <w:shd w:val="clear" w:color="auto" w:fill="auto"/>
          <w:lang w:val="en-US" w:eastAsia="en-US" w:bidi="en-US"/>
        </w:rPr>
        <w:t xml:space="preserve">Mishele Shu'alim </w:t>
      </w:r>
      <w:r>
        <w:rPr>
          <w:spacing w:val="0"/>
          <w:w w:val="100"/>
          <w:position w:val="0"/>
          <w:shd w:val="clear" w:color="auto" w:fill="auto"/>
          <w:lang w:val="en-US" w:eastAsia="en-US" w:bidi="en-US"/>
        </w:rPr>
        <w:t xml:space="preserve">(printed only in part ; see Dukes, </w:t>
      </w:r>
      <w:r>
        <w:rPr>
          <w:i/>
          <w:iCs/>
          <w:spacing w:val="0"/>
          <w:w w:val="100"/>
          <w:position w:val="0"/>
          <w:shd w:val="clear" w:color="auto" w:fill="auto"/>
          <w:lang w:val="de-DE" w:eastAsia="de-DE" w:bidi="de-DE"/>
        </w:rPr>
        <w:t>Beiträge,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pp. 20, 22) ; nine chapters have been translated into German </w:t>
      </w:r>
      <w:r>
        <w:rPr>
          <w:spacing w:val="0"/>
          <w:w w:val="100"/>
          <w:position w:val="0"/>
          <w:shd w:val="clear" w:color="auto" w:fill="auto"/>
          <w:lang w:val="de-DE" w:eastAsia="de-DE" w:bidi="de-DE"/>
        </w:rPr>
        <w:t xml:space="preserve">(Fürst, </w:t>
      </w:r>
      <w:r>
        <w:rPr>
          <w:spacing w:val="0"/>
          <w:w w:val="100"/>
          <w:position w:val="0"/>
          <w:shd w:val="clear" w:color="auto" w:fill="auto"/>
          <w:lang w:val="en-US" w:eastAsia="en-US" w:bidi="en-US"/>
        </w:rPr>
        <w:t xml:space="preserve">Leipsic, 1845, 12mo), and parts into English </w:t>
      </w:r>
      <w:r>
        <w:rPr>
          <w:i/>
          <w:iCs/>
          <w:spacing w:val="0"/>
          <w:w w:val="100"/>
          <w:position w:val="0"/>
          <w:shd w:val="clear" w:color="auto" w:fill="auto"/>
          <w:lang w:val="en-US" w:eastAsia="en-US" w:bidi="en-US"/>
        </w:rPr>
        <w:t>(Two Treatises,</w:t>
      </w:r>
      <w:r>
        <w:rPr>
          <w:spacing w:val="0"/>
          <w:w w:val="100"/>
          <w:position w:val="0"/>
          <w:shd w:val="clear" w:color="auto" w:fill="auto"/>
          <w:lang w:val="en-US" w:eastAsia="en-US" w:bidi="en-US"/>
        </w:rPr>
        <w:t xml:space="preserve"> by P. Allix, London, 1707, 8vo).</w:t>
      </w:r>
    </w:p>
    <w:p>
      <w:pPr>
        <w:pStyle w:val="Style6"/>
        <w:keepNext w:val="0"/>
        <w:keepLines w:val="0"/>
        <w:widowControl w:val="0"/>
        <w:numPr>
          <w:ilvl w:val="0"/>
          <w:numId w:val="1"/>
        </w:numPr>
        <w:shd w:val="clear" w:color="auto" w:fill="auto"/>
        <w:tabs>
          <w:tab w:pos="539" w:val="left"/>
        </w:tabs>
        <w:bidi w:val="0"/>
        <w:ind w:left="0" w:firstLine="360"/>
        <w:jc w:val="left"/>
      </w:pPr>
      <w:r>
        <w:rPr>
          <w:i/>
          <w:iCs/>
          <w:spacing w:val="0"/>
          <w:w w:val="100"/>
          <w:position w:val="0"/>
          <w:shd w:val="clear" w:color="auto" w:fill="auto"/>
          <w:lang w:val="en-US" w:eastAsia="en-US" w:bidi="en-US"/>
        </w:rPr>
        <w:t>Works now lost, but the existence of which is testified to by</w:t>
      </w:r>
    </w:p>
    <w:p>
      <w:pPr>
        <w:pStyle w:val="Style6"/>
        <w:keepNext w:val="0"/>
        <w:keepLines w:val="0"/>
        <w:widowControl w:val="0"/>
        <w:shd w:val="clear" w:color="auto" w:fill="auto"/>
        <w:tabs>
          <w:tab w:pos="2646" w:val="left"/>
        </w:tabs>
        <w:bidi w:val="0"/>
        <w:ind w:left="0" w:firstLine="0"/>
        <w:jc w:val="left"/>
      </w:pPr>
      <w:r>
        <w:rPr>
          <w:i/>
          <w:iCs/>
          <w:spacing w:val="0"/>
          <w:w w:val="100"/>
          <w:position w:val="0"/>
          <w:shd w:val="clear" w:color="auto" w:fill="auto"/>
          <w:lang w:val="en-US" w:eastAsia="en-US" w:bidi="en-US"/>
        </w:rPr>
        <w:t>contemporary and later authors.—</w:t>
      </w:r>
      <w:r>
        <w:rPr>
          <w:spacing w:val="0"/>
          <w:w w:val="100"/>
          <w:position w:val="0"/>
          <w:shd w:val="clear" w:color="auto" w:fill="auto"/>
          <w:lang w:val="en-US" w:eastAsia="en-US" w:bidi="en-US"/>
        </w:rPr>
        <w:t xml:space="preserve"> (1) An Arabic translation of, and in part commentary on, most, if not all, the other books of the Bible.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(2) Lexical Treatises : Book of Interpretations (</w:t>
      </w:r>
      <w:r>
        <w:rPr>
          <w:i/>
          <w:iCs/>
          <w:spacing w:val="0"/>
          <w:w w:val="100"/>
          <w:position w:val="0"/>
          <w:shd w:val="clear" w:color="auto" w:fill="auto"/>
          <w:lang w:val="en-US" w:eastAsia="en-US" w:bidi="en-US"/>
        </w:rPr>
        <w:t>Sepher Pithronim,</w:t>
      </w:r>
      <w:r>
        <w:rPr>
          <w:spacing w:val="0"/>
          <w:w w:val="100"/>
          <w:position w:val="0"/>
          <w:shd w:val="clear" w:color="auto" w:fill="auto"/>
          <w:lang w:val="en-US" w:eastAsia="en-US" w:bidi="en-US"/>
        </w:rPr>
        <w:t xml:space="preserve"> or Collection (</w:t>
      </w:r>
      <w:r>
        <w:rPr>
          <w:i/>
          <w:iCs/>
          <w:spacing w:val="0"/>
          <w:w w:val="100"/>
          <w:position w:val="0"/>
          <w:shd w:val="clear" w:color="auto" w:fill="auto"/>
          <w:lang w:val="en-US" w:eastAsia="en-US" w:bidi="en-US"/>
        </w:rPr>
        <w:t>Iggeron).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(3) Grammatical Treatises : (a) Elegancy of the Hebrew Tongue—(a) Treatise on the Changes, </w:t>
      </w:r>
      <w:r>
        <w:rPr>
          <w:i/>
          <w:iCs/>
          <w:spacing w:val="0"/>
          <w:w w:val="100"/>
          <w:position w:val="0"/>
          <w:shd w:val="clear" w:color="auto" w:fill="auto"/>
          <w:lang w:val="de-DE" w:eastAsia="de-DE" w:bidi="de-DE"/>
        </w:rPr>
        <w:t xml:space="preserve">(ß) </w:t>
      </w:r>
      <w:r>
        <w:rPr>
          <w:spacing w:val="0"/>
          <w:w w:val="100"/>
          <w:position w:val="0"/>
          <w:shd w:val="clear" w:color="auto" w:fill="auto"/>
          <w:lang w:val="en-US" w:eastAsia="en-US" w:bidi="en-US"/>
        </w:rPr>
        <w:t xml:space="preserve">Treatise on the Combinations, </w:t>
      </w:r>
      <w:r>
        <w:rPr>
          <w:spacing w:val="0"/>
          <w:w w:val="100"/>
          <w:position w:val="0"/>
          <w:shd w:val="clear" w:color="auto" w:fill="auto"/>
          <w:lang w:val="el-GR" w:eastAsia="el-GR" w:bidi="el-GR"/>
        </w:rPr>
        <w:t xml:space="preserve">(γ) </w:t>
      </w:r>
      <w:r>
        <w:rPr>
          <w:spacing w:val="0"/>
          <w:w w:val="100"/>
          <w:position w:val="0"/>
          <w:shd w:val="clear" w:color="auto" w:fill="auto"/>
          <w:lang w:val="en-US" w:eastAsia="en-US" w:bidi="en-US"/>
        </w:rPr>
        <w:t xml:space="preserve">Treatise on </w:t>
      </w:r>
      <w:r>
        <w:rPr>
          <w:i/>
          <w:iCs/>
          <w:spacing w:val="0"/>
          <w:w w:val="100"/>
          <w:position w:val="0"/>
          <w:shd w:val="clear" w:color="auto" w:fill="auto"/>
          <w:lang w:val="en-US" w:eastAsia="en-US" w:bidi="en-US"/>
        </w:rPr>
        <w:t>Dagesh</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Rapheh, </w:t>
      </w:r>
      <w:r>
        <w:rPr>
          <w:spacing w:val="0"/>
          <w:w w:val="100"/>
          <w:position w:val="0"/>
          <w:shd w:val="clear" w:color="auto" w:fill="auto"/>
          <w:lang w:val="el-GR" w:eastAsia="el-GR" w:bidi="el-GR"/>
        </w:rPr>
        <w:t xml:space="preserve">(δ) </w:t>
      </w:r>
      <w:r>
        <w:rPr>
          <w:spacing w:val="0"/>
          <w:w w:val="100"/>
          <w:position w:val="0"/>
          <w:shd w:val="clear" w:color="auto" w:fill="auto"/>
          <w:lang w:val="en-US" w:eastAsia="en-US" w:bidi="en-US"/>
        </w:rPr>
        <w:t xml:space="preserve">Treatise on the Letters </w:t>
      </w:r>
      <w:r>
        <w:rPr>
          <w:spacing w:val="0"/>
          <w:w w:val="100"/>
          <w:position w:val="0"/>
          <w:shd w:val="clear" w:color="auto" w:fill="auto"/>
          <w:lang w:val="en-US" w:eastAsia="en-US" w:bidi="en-US"/>
        </w:rPr>
        <w:t>צ</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 </w:t>
      </w:r>
      <w:r>
        <w:rPr>
          <w:spacing w:val="0"/>
          <w:w w:val="100"/>
          <w:position w:val="0"/>
          <w:shd w:val="clear" w:color="auto" w:fill="auto"/>
          <w:lang w:val="en-US" w:eastAsia="en-US" w:bidi="en-US"/>
        </w:rPr>
        <w:t>H, K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 </w:t>
      </w:r>
      <w:r>
        <w:rPr>
          <w:spacing w:val="0"/>
          <w:w w:val="100"/>
          <w:position w:val="0"/>
          <w:shd w:val="clear" w:color="auto" w:fill="auto"/>
          <w:lang w:val="el-GR" w:eastAsia="el-GR" w:bidi="el-GR"/>
        </w:rPr>
        <w:t>(</w:t>
      </w:r>
      <w:r>
        <w:rPr>
          <w:i/>
          <w:iCs/>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Treatise on Punctuation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 (c) Treatise on Right Reading @@</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;—it is not impossible that the first four constituted one work and the last two another work. (4) Talmudic Literature : (a) Translation of the </w:t>
      </w:r>
      <w:r>
        <w:rPr>
          <w:i/>
          <w:iCs/>
          <w:spacing w:val="0"/>
          <w:w w:val="100"/>
          <w:position w:val="0"/>
          <w:shd w:val="clear" w:color="auto" w:fill="auto"/>
          <w:lang w:val="en-US" w:eastAsia="en-US" w:bidi="en-US"/>
        </w:rPr>
        <w:t>Mishnah @@</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 </w:t>
      </w:r>
      <w:r>
        <w:rPr>
          <w:spacing w:val="0"/>
          <w:w w:val="100"/>
          <w:position w:val="0"/>
          <w:shd w:val="clear" w:color="auto" w:fill="auto"/>
          <w:lang w:val="el-GR" w:eastAsia="el-GR" w:bidi="el-GR"/>
        </w:rPr>
        <w:t>(</w:t>
      </w:r>
      <w:r>
        <w:rPr>
          <w:i/>
          <w:iCs/>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Meth</w:t>
        <w:softHyphen/>
        <w:t>odology of the (Babylonian) Talmud @@</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 (c) Treatise on Bills @@</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 xml:space="preserve">d) </w:t>
      </w:r>
      <w:r>
        <w:rPr>
          <w:spacing w:val="0"/>
          <w:w w:val="100"/>
          <w:position w:val="0"/>
          <w:shd w:val="clear" w:color="auto" w:fill="auto"/>
          <w:lang w:val="en-US" w:eastAsia="en-US" w:bidi="en-US"/>
        </w:rPr>
        <w:t>Treatise on Deposits @@</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w:t>
      </w:r>
      <w:r>
        <w:rPr>
          <w:i/>
          <w:iCs/>
          <w:spacing w:val="0"/>
          <w:w w:val="100"/>
          <w:position w:val="0"/>
          <w:shd w:val="clear" w:color="auto" w:fill="auto"/>
          <w:lang w:val="en-US" w:eastAsia="en-US" w:bidi="en-US"/>
        </w:rPr>
        <w:t xml:space="preserve">e) </w:t>
      </w:r>
      <w:r>
        <w:rPr>
          <w:spacing w:val="0"/>
          <w:w w:val="100"/>
          <w:position w:val="0"/>
          <w:shd w:val="clear" w:color="auto" w:fill="auto"/>
          <w:lang w:val="en-US" w:eastAsia="en-US" w:bidi="en-US"/>
        </w:rPr>
        <w:t>Treatise on Oaths @@</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Treatise on Prohibited Degrees @@</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Treatise on </w:t>
      </w:r>
      <w:r>
        <w:rPr>
          <w:i/>
          <w:iCs/>
          <w:spacing w:val="0"/>
          <w:w w:val="100"/>
          <w:position w:val="0"/>
          <w:shd w:val="clear" w:color="auto" w:fill="auto"/>
          <w:lang w:val="en-US" w:eastAsia="en-US" w:bidi="en-US"/>
        </w:rPr>
        <w:t xml:space="preserve">Impura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Pura,</w:t>
      </w:r>
      <w:r>
        <w:rPr>
          <w:spacing w:val="0"/>
          <w:w w:val="100"/>
          <w:position w:val="0"/>
          <w:shd w:val="clear" w:color="auto" w:fill="auto"/>
          <w:lang w:val="en-US" w:eastAsia="en-US" w:bidi="en-US"/>
        </w:rPr>
        <w:t xml:space="preserve"> including </w:t>
      </w:r>
      <w:r>
        <w:rPr>
          <w:i/>
          <w:iCs/>
          <w:spacing w:val="0"/>
          <w:w w:val="100"/>
          <w:position w:val="0"/>
          <w:shd w:val="clear" w:color="auto" w:fill="auto"/>
          <w:lang w:val="en-US" w:eastAsia="en-US" w:bidi="en-US"/>
        </w:rPr>
        <w:t>Hilekhoth Niddah @@</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;—it is very possible that those marked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constituted one book, just as the treatise marked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constituted one book. (5) Calendaric Literature : </w:t>
      </w:r>
      <w:r>
        <w:rPr>
          <w:i/>
          <w:iCs/>
          <w:spacing w:val="0"/>
          <w:w w:val="100"/>
          <w:position w:val="0"/>
          <w:shd w:val="clear" w:color="auto" w:fill="auto"/>
          <w:lang w:val="en-US" w:eastAsia="en-US" w:bidi="en-US"/>
        </w:rPr>
        <w:t>Sepher Hdibbur</w:t>
      </w:r>
      <w:r>
        <w:rPr>
          <w:spacing w:val="0"/>
          <w:w w:val="100"/>
          <w:position w:val="0"/>
          <w:shd w:val="clear" w:color="auto" w:fill="auto"/>
          <w:lang w:val="en-US" w:eastAsia="en-US" w:bidi="en-US"/>
        </w:rPr>
        <w:t xml:space="preserve"> (Treatise on Intercalation). @@</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(6) Apologetics : Treatise on Investigations. @@</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(7) Polemics :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against Karaism—(a) 'Anan, @@</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(β)</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Ibn Sakkawiyyah, @@</w:t>
      </w:r>
      <w:r>
        <w:rPr>
          <w:spacing w:val="0"/>
          <w:w w:val="100"/>
          <w:position w:val="0"/>
          <w:shd w:val="clear" w:color="auto" w:fill="auto"/>
          <w:vertAlign w:val="superscript"/>
          <w:lang w:val="en-US" w:eastAsia="en-US" w:bidi="en-US"/>
        </w:rPr>
        <w:t xml:space="preserve">20 </w:t>
      </w:r>
      <w:r>
        <w:rPr>
          <w:spacing w:val="0"/>
          <w:w w:val="100"/>
          <w:position w:val="0"/>
          <w:shd w:val="clear" w:color="auto" w:fill="auto"/>
          <w:lang w:val="el-GR" w:eastAsia="el-GR" w:bidi="el-GR"/>
        </w:rPr>
        <w:t xml:space="preserve">(γ) </w:t>
      </w:r>
      <w:r>
        <w:rPr>
          <w:spacing w:val="0"/>
          <w:w w:val="100"/>
          <w:position w:val="0"/>
          <w:shd w:val="clear" w:color="auto" w:fill="auto"/>
          <w:lang w:val="en-US" w:eastAsia="en-US" w:bidi="en-US"/>
        </w:rPr>
        <w:t>Ibn Zitta (or Zutta) @@</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 </w:t>
      </w:r>
      <w:r>
        <w:rPr>
          <w:spacing w:val="0"/>
          <w:w w:val="100"/>
          <w:position w:val="0"/>
          <w:shd w:val="clear" w:color="auto" w:fill="auto"/>
          <w:lang w:val="en-US" w:eastAsia="en-US" w:bidi="en-US"/>
        </w:rPr>
        <w:t>against the Rabbanite Hivvi al- Balkhi @@</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 (c) against the Karaite Ben Asher (the completer of the </w:t>
      </w:r>
      <w:r>
        <w:rPr>
          <w:i/>
          <w:iCs/>
          <w:spacing w:val="0"/>
          <w:w w:val="100"/>
          <w:position w:val="0"/>
          <w:shd w:val="clear" w:color="auto" w:fill="auto"/>
          <w:lang w:val="en-US" w:eastAsia="en-US" w:bidi="en-US"/>
        </w:rPr>
        <w:t>Massoreth</w:t>
      </w:r>
      <w:r>
        <w:rPr>
          <w:spacing w:val="0"/>
          <w:w w:val="100"/>
          <w:position w:val="0"/>
          <w:shd w:val="clear" w:color="auto" w:fill="auto"/>
          <w:lang w:val="en-US" w:eastAsia="en-US" w:bidi="en-US"/>
        </w:rPr>
        <w:t xml:space="preserve"> ; see </w:t>
      </w:r>
      <w:r>
        <w:rPr>
          <w:i/>
          <w:iCs/>
          <w:spacing w:val="0"/>
          <w:w w:val="100"/>
          <w:position w:val="0"/>
          <w:shd w:val="clear" w:color="auto" w:fill="auto"/>
          <w:lang w:val="en-US" w:eastAsia="en-US" w:bidi="en-US"/>
        </w:rPr>
        <w:t>L.-B. d. Or.,</w:t>
      </w:r>
      <w:r>
        <w:rPr>
          <w:spacing w:val="0"/>
          <w:w w:val="100"/>
          <w:position w:val="0"/>
          <w:shd w:val="clear" w:color="auto" w:fill="auto"/>
          <w:lang w:val="en-US" w:eastAsia="en-US" w:bidi="en-US"/>
        </w:rPr>
        <w:t xml:space="preserve"> x. 684).</w:t>
        <w:tab/>
        <w:t xml:space="preserve">(8) The nature of the </w:t>
      </w:r>
      <w:r>
        <w:rPr>
          <w:i/>
          <w:iCs/>
          <w:spacing w:val="0"/>
          <w:w w:val="100"/>
          <w:position w:val="0"/>
          <w:shd w:val="clear" w:color="auto" w:fill="auto"/>
          <w:lang w:val="en-US" w:eastAsia="en-US" w:bidi="en-US"/>
        </w:rPr>
        <w:t>Sepher</w:t>
      </w:r>
    </w:p>
    <w:p>
      <w:pPr>
        <w:pStyle w:val="Style6"/>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Haggalui</w:t>
      </w:r>
      <w:r>
        <w:rPr>
          <w:spacing w:val="0"/>
          <w:w w:val="100"/>
          <w:position w:val="0"/>
          <w:shd w:val="clear" w:color="auto" w:fill="auto"/>
          <w:lang w:val="en-US" w:eastAsia="en-US" w:bidi="en-US"/>
        </w:rPr>
        <w:t xml:space="preserve"> cited by Babad II. and Ab. b. Hiyya in his </w:t>
      </w:r>
      <w:r>
        <w:rPr>
          <w:i/>
          <w:iCs/>
          <w:spacing w:val="0"/>
          <w:w w:val="100"/>
          <w:position w:val="0"/>
          <w:shd w:val="clear" w:color="auto" w:fill="auto"/>
          <w:lang w:val="en-US" w:eastAsia="en-US" w:bidi="en-US"/>
        </w:rPr>
        <w:t xml:space="preserve">Sepher Hdibbur </w:t>
      </w:r>
      <w:r>
        <w:rPr>
          <w:spacing w:val="0"/>
          <w:w w:val="100"/>
          <w:position w:val="0"/>
          <w:shd w:val="clear" w:color="auto" w:fill="auto"/>
          <w:lang w:val="en-US" w:eastAsia="en-US" w:bidi="en-US"/>
        </w:rPr>
        <w:t>is not clear.</w:t>
      </w:r>
    </w:p>
    <w:p>
      <w:pPr>
        <w:pStyle w:val="Style6"/>
        <w:keepNext w:val="0"/>
        <w:keepLines w:val="0"/>
        <w:widowControl w:val="0"/>
        <w:numPr>
          <w:ilvl w:val="0"/>
          <w:numId w:val="1"/>
        </w:numPr>
        <w:shd w:val="clear" w:color="auto" w:fill="auto"/>
        <w:tabs>
          <w:tab w:pos="536" w:val="left"/>
        </w:tabs>
        <w:bidi w:val="0"/>
        <w:ind w:left="0" w:firstLine="360"/>
        <w:jc w:val="left"/>
      </w:pPr>
      <w:r>
        <w:rPr>
          <w:i/>
          <w:iCs/>
          <w:spacing w:val="0"/>
          <w:w w:val="100"/>
          <w:position w:val="0"/>
          <w:shd w:val="clear" w:color="auto" w:fill="auto"/>
          <w:lang w:val="en-US" w:eastAsia="en-US" w:bidi="en-US"/>
        </w:rPr>
        <w:t>Works ascribed to Se'adyah the authorship of which is not sufficiently proven.</w:t>
      </w:r>
      <w:r>
        <w:rPr>
          <w:spacing w:val="0"/>
          <w:w w:val="100"/>
          <w:position w:val="0"/>
          <w:shd w:val="clear" w:color="auto" w:fill="auto"/>
          <w:lang w:val="en-US" w:eastAsia="en-US" w:bidi="en-US"/>
        </w:rPr>
        <w:t>—(1) The commentary on Canticles edited by Yishak Ibn 'Akrish (Constantinople, 1577, 4to), and that published by L. Margaliyyoth at Frankfort-on-Oder, 1777 @@</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(2) The well- known piece of didactic poetry which gives account of all the letters of the Bible, how many times they occur, &amp;c. </w:t>
      </w:r>
      <w:r>
        <w:rPr>
          <w:i/>
          <w:iCs/>
          <w:spacing w:val="0"/>
          <w:w w:val="100"/>
          <w:position w:val="0"/>
          <w:shd w:val="clear" w:color="auto" w:fill="auto"/>
          <w:lang w:val="en-US" w:eastAsia="en-US" w:bidi="en-US"/>
        </w:rPr>
        <w:t xml:space="preserve">(editio princeps, </w:t>
      </w:r>
      <w:r>
        <w:rPr>
          <w:spacing w:val="0"/>
          <w:w w:val="100"/>
          <w:position w:val="0"/>
          <w:shd w:val="clear" w:color="auto" w:fill="auto"/>
          <w:lang w:val="en-US" w:eastAsia="en-US" w:bidi="en-US"/>
        </w:rPr>
        <w:t xml:space="preserve">Venice, 1538, at the end of Elias Levita’s </w:t>
      </w:r>
      <w:r>
        <w:rPr>
          <w:i/>
          <w:iCs/>
          <w:spacing w:val="0"/>
          <w:w w:val="100"/>
          <w:position w:val="0"/>
          <w:shd w:val="clear" w:color="auto" w:fill="auto"/>
          <w:lang w:val="en-US" w:eastAsia="en-US" w:bidi="en-US"/>
        </w:rPr>
        <w:t>Massoreth Hammass.).</w:t>
      </w:r>
    </w:p>
    <w:p>
      <w:pPr>
        <w:pStyle w:val="Style6"/>
        <w:keepNext w:val="0"/>
        <w:keepLines w:val="0"/>
        <w:widowControl w:val="0"/>
        <w:numPr>
          <w:ilvl w:val="0"/>
          <w:numId w:val="1"/>
        </w:numPr>
        <w:shd w:val="clear" w:color="auto" w:fill="auto"/>
        <w:tabs>
          <w:tab w:pos="564" w:val="left"/>
        </w:tabs>
        <w:bidi w:val="0"/>
        <w:ind w:left="0" w:firstLine="360"/>
        <w:jc w:val="left"/>
      </w:pPr>
      <w:r>
        <w:rPr>
          <w:i/>
          <w:iCs/>
          <w:spacing w:val="0"/>
          <w:w w:val="100"/>
          <w:position w:val="0"/>
          <w:shd w:val="clear" w:color="auto" w:fill="auto"/>
          <w:lang w:val="en-US" w:eastAsia="en-US" w:bidi="en-US"/>
        </w:rPr>
        <w:t>Works ascribed to Se'adyah by mistake.—</w:t>
      </w:r>
      <w:r>
        <w:rPr>
          <w:spacing w:val="0"/>
          <w:w w:val="100"/>
          <w:position w:val="0"/>
          <w:shd w:val="clear" w:color="auto" w:fill="auto"/>
          <w:lang w:val="en-US" w:eastAsia="en-US" w:bidi="en-US"/>
        </w:rPr>
        <w:t>(1) The Commentary</w:t>
      </w:r>
    </w:p>
    <w:p>
      <w:pPr>
        <w:pStyle w:val="Style6"/>
        <w:keepNext w:val="0"/>
        <w:keepLines w:val="0"/>
        <w:widowControl w:val="0"/>
        <w:shd w:val="clear" w:color="auto" w:fill="auto"/>
        <w:tabs>
          <w:tab w:pos="3553" w:val="left"/>
        </w:tabs>
        <w:bidi w:val="0"/>
        <w:ind w:left="0" w:firstLine="0"/>
        <w:jc w:val="left"/>
      </w:pPr>
      <w:r>
        <w:rPr>
          <w:spacing w:val="0"/>
          <w:w w:val="100"/>
          <w:position w:val="0"/>
          <w:shd w:val="clear" w:color="auto" w:fill="auto"/>
          <w:lang w:val="en-US" w:eastAsia="en-US" w:bidi="en-US"/>
        </w:rPr>
        <w:t>on Daniel commonly found in the Rabbinic Bibles belongs to an</w:t>
        <w:softHyphen/>
        <w:t xml:space="preserve">other Rab Se'adyah, who lived at least two hundred years later, and was a native either of France or the south of Germany. (2) The Commentary on the </w:t>
      </w:r>
      <w:r>
        <w:rPr>
          <w:i/>
          <w:iCs/>
          <w:spacing w:val="0"/>
          <w:w w:val="100"/>
          <w:position w:val="0"/>
          <w:shd w:val="clear" w:color="auto" w:fill="auto"/>
          <w:lang w:val="en-US" w:eastAsia="en-US" w:bidi="en-US"/>
        </w:rPr>
        <w:t>Sepher Yesirah,</w:t>
      </w:r>
      <w:r>
        <w:rPr>
          <w:spacing w:val="0"/>
          <w:w w:val="100"/>
          <w:position w:val="0"/>
          <w:shd w:val="clear" w:color="auto" w:fill="auto"/>
          <w:lang w:val="en-US" w:eastAsia="en-US" w:bidi="en-US"/>
        </w:rPr>
        <w:t xml:space="preserve"> printed with the text and three other commentaries at Mantua in 1562, 4to. (3) The Book on Lots </w:t>
      </w:r>
      <w:r>
        <w:rPr>
          <w:i/>
          <w:iCs/>
          <w:spacing w:val="0"/>
          <w:w w:val="100"/>
          <w:position w:val="0"/>
          <w:shd w:val="clear" w:color="auto" w:fill="auto"/>
          <w:lang w:val="en-US" w:eastAsia="en-US" w:bidi="en-US"/>
        </w:rPr>
        <w:t>(Sepher Haggoraloth),</w:t>
      </w:r>
      <w:r>
        <w:rPr>
          <w:spacing w:val="0"/>
          <w:w w:val="100"/>
          <w:position w:val="0"/>
          <w:shd w:val="clear" w:color="auto" w:fill="auto"/>
          <w:lang w:val="en-US" w:eastAsia="en-US" w:bidi="en-US"/>
        </w:rPr>
        <w:t xml:space="preserve"> often printed separately and in con</w:t>
        <w:softHyphen/>
        <w:t xml:space="preserve">junction with similar works. (4) </w:t>
      </w:r>
      <w:r>
        <w:rPr>
          <w:i/>
          <w:iCs/>
          <w:spacing w:val="0"/>
          <w:w w:val="100"/>
          <w:position w:val="0"/>
          <w:shd w:val="clear" w:color="auto" w:fill="auto"/>
          <w:lang w:val="en-US" w:eastAsia="en-US" w:bidi="en-US"/>
        </w:rPr>
        <w:t>Eben Happilosophim (Lapis Philosophorum),</w:t>
      </w:r>
      <w:r>
        <w:rPr>
          <w:spacing w:val="0"/>
          <w:w w:val="100"/>
          <w:position w:val="0"/>
          <w:shd w:val="clear" w:color="auto" w:fill="auto"/>
          <w:lang w:val="en-US" w:eastAsia="en-US" w:bidi="en-US"/>
        </w:rPr>
        <w:t xml:space="preserve"> ascribed to him by R. Mosheh Butrial (Mantua edition of the </w:t>
      </w:r>
      <w:r>
        <w:rPr>
          <w:i/>
          <w:iCs/>
          <w:spacing w:val="0"/>
          <w:w w:val="100"/>
          <w:position w:val="0"/>
          <w:shd w:val="clear" w:color="auto" w:fill="auto"/>
          <w:lang w:val="en-US" w:eastAsia="en-US" w:bidi="en-US"/>
        </w:rPr>
        <w:t>Sepher Yesirah</w:t>
      </w:r>
      <w:r>
        <w:rPr>
          <w:spacing w:val="0"/>
          <w:w w:val="100"/>
          <w:position w:val="0"/>
          <w:shd w:val="clear" w:color="auto" w:fill="auto"/>
          <w:lang w:val="en-US" w:eastAsia="en-US" w:bidi="en-US"/>
        </w:rPr>
        <w:t xml:space="preserve"> as above).</w:t>
        <w:tab/>
        <w:t>(S. M. S. - S. )</w:t>
      </w:r>
    </w:p>
    <w:p>
      <w:pPr>
        <w:pStyle w:val="Style6"/>
        <w:keepNext w:val="0"/>
        <w:keepLines w:val="0"/>
        <w:widowControl w:val="0"/>
        <w:shd w:val="clear" w:color="auto" w:fill="auto"/>
        <w:tabs>
          <w:tab w:pos="281" w:val="left"/>
        </w:tabs>
        <w:bidi w:val="0"/>
        <w:spacing w:line="214"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 xml:space="preserve">To make the legal decisions of the </w:t>
      </w:r>
      <w:r>
        <w:rPr>
          <w:rStyle w:val="CharStyle3"/>
          <w:sz w:val="14"/>
          <w:szCs w:val="14"/>
          <w:lang w:val="fr-FR" w:eastAsia="fr-FR" w:bidi="fr-FR"/>
        </w:rPr>
        <w:t>r</w:t>
      </w:r>
      <w:r>
        <w:rPr>
          <w:rStyle w:val="CharStyle3"/>
          <w:sz w:val="14"/>
          <w:szCs w:val="14"/>
        </w:rPr>
        <w:t>ē</w:t>
      </w:r>
      <w:r>
        <w:rPr>
          <w:rStyle w:val="CharStyle3"/>
          <w:sz w:val="14"/>
          <w:szCs w:val="14"/>
          <w:lang w:val="fr-FR" w:eastAsia="fr-FR" w:bidi="fr-FR"/>
        </w:rPr>
        <w:t xml:space="preserve">sh </w:t>
      </w:r>
      <w:r>
        <w:rPr>
          <w:rStyle w:val="CharStyle3"/>
          <w:sz w:val="14"/>
          <w:szCs w:val="14"/>
          <w:lang w:val="de-DE" w:eastAsia="de-DE" w:bidi="de-DE"/>
        </w:rPr>
        <w:t>g</w:t>
      </w:r>
      <w:r>
        <w:rPr>
          <w:rStyle w:val="CharStyle3"/>
          <w:sz w:val="14"/>
          <w:szCs w:val="14"/>
        </w:rPr>
        <w:t>ā</w:t>
      </w:r>
      <w:r>
        <w:rPr>
          <w:rStyle w:val="CharStyle3"/>
          <w:sz w:val="14"/>
          <w:szCs w:val="14"/>
          <w:lang w:val="de-DE" w:eastAsia="de-DE" w:bidi="de-DE"/>
        </w:rPr>
        <w:t>luth</w:t>
      </w:r>
      <w:r>
        <w:rPr>
          <w:rStyle w:val="CharStyle3"/>
          <w:sz w:val="14"/>
          <w:szCs w:val="14"/>
        </w:rPr>
        <w:t>ā</w:t>
      </w:r>
      <w:r>
        <w:rPr>
          <w:spacing w:val="0"/>
          <w:w w:val="100"/>
          <w:position w:val="0"/>
          <w:sz w:val="14"/>
          <w:szCs w:val="14"/>
          <w:shd w:val="clear" w:color="auto" w:fill="auto"/>
          <w:lang w:val="de-DE" w:eastAsia="de-DE" w:bidi="de-DE"/>
        </w:rPr>
        <w:t xml:space="preserve"> </w:t>
      </w:r>
      <w:r>
        <w:rPr>
          <w:spacing w:val="0"/>
          <w:w w:val="100"/>
          <w:position w:val="0"/>
          <w:shd w:val="clear" w:color="auto" w:fill="auto"/>
          <w:lang w:val="en-US" w:eastAsia="en-US" w:bidi="en-US"/>
        </w:rPr>
        <w:t xml:space="preserve">more respected, the signatures of the geonim of </w:t>
      </w:r>
      <w:r>
        <w:rPr>
          <w:spacing w:val="0"/>
          <w:w w:val="100"/>
          <w:position w:val="0"/>
          <w:shd w:val="clear" w:color="auto" w:fill="auto"/>
          <w:lang w:val="de-DE" w:eastAsia="de-DE" w:bidi="de-DE"/>
        </w:rPr>
        <w:t>S</w:t>
      </w:r>
      <w:r>
        <w:rPr>
          <w:spacing w:val="0"/>
          <w:w w:val="100"/>
          <w:position w:val="0"/>
          <w:shd w:val="clear" w:color="auto" w:fill="auto"/>
          <w:lang w:val="en-US" w:eastAsia="en-US" w:bidi="en-US"/>
        </w:rPr>
        <w:t>ū</w:t>
      </w:r>
      <w:r>
        <w:rPr>
          <w:spacing w:val="0"/>
          <w:w w:val="100"/>
          <w:position w:val="0"/>
          <w:shd w:val="clear" w:color="auto" w:fill="auto"/>
          <w:lang w:val="de-DE" w:eastAsia="de-DE" w:bidi="de-DE"/>
        </w:rPr>
        <w:t>r</w:t>
      </w:r>
      <w:r>
        <w:rPr>
          <w:spacing w:val="0"/>
          <w:w w:val="100"/>
          <w:position w:val="0"/>
          <w:shd w:val="clear" w:color="auto" w:fill="auto"/>
          <w:lang w:val="en-US" w:eastAsia="en-US" w:bidi="en-US"/>
        </w:rPr>
        <w:t>ā</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Pumbadithā were desirable. A specimen of a legal decision by David b. Zakkai signed on the authority of Rab Se'adyah Gaon is to be found in Frankel-Grätz, </w:t>
      </w:r>
      <w:r>
        <w:rPr>
          <w:i/>
          <w:iCs/>
          <w:spacing w:val="0"/>
          <w:w w:val="100"/>
          <w:position w:val="0"/>
          <w:shd w:val="clear" w:color="auto" w:fill="auto"/>
          <w:lang w:val="de-DE" w:eastAsia="de-DE" w:bidi="de-DE"/>
        </w:rPr>
        <w:t>Monatsschrift,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xxxi. pp. 167-170.</w:t>
      </w:r>
    </w:p>
    <w:p>
      <w:pPr>
        <w:pStyle w:val="Style6"/>
        <w:keepNext w:val="0"/>
        <w:keepLines w:val="0"/>
        <w:widowControl w:val="0"/>
        <w:shd w:val="clear" w:color="auto" w:fill="auto"/>
        <w:tabs>
          <w:tab w:pos="281" w:val="left"/>
        </w:tabs>
        <w:bidi w:val="0"/>
        <w:spacing w:line="214"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 xml:space="preserve">If we may argue from the known to the unknown, Se'adyah’s translations, whether they were called </w:t>
      </w:r>
      <w:r>
        <w:rPr>
          <w:i/>
          <w:iCs/>
          <w:spacing w:val="0"/>
          <w:w w:val="100"/>
          <w:position w:val="0"/>
          <w:shd w:val="clear" w:color="auto" w:fill="auto"/>
          <w:lang w:val="en-US" w:eastAsia="en-US" w:bidi="en-US"/>
        </w:rPr>
        <w:t>tafsír</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sharh,</w:t>
      </w:r>
      <w:r>
        <w:rPr>
          <w:spacing w:val="0"/>
          <w:w w:val="100"/>
          <w:position w:val="0"/>
          <w:shd w:val="clear" w:color="auto" w:fill="auto"/>
          <w:lang w:val="en-US" w:eastAsia="en-US" w:bidi="en-US"/>
        </w:rPr>
        <w:t xml:space="preserve"> contained more than a mere translation. From Ibn 'Ezra’s preface to his com</w:t>
        <w:softHyphen/>
        <w:t xml:space="preserve">mentary on the Pentateuch and from the Arabic comm. on the Psalms published in excerpt by </w:t>
      </w:r>
      <w:r>
        <w:rPr>
          <w:spacing w:val="0"/>
          <w:w w:val="100"/>
          <w:position w:val="0"/>
          <w:shd w:val="clear" w:color="auto" w:fill="auto"/>
          <w:lang w:val="de-DE" w:eastAsia="de-DE" w:bidi="de-DE"/>
        </w:rPr>
        <w:t xml:space="preserve">Ewald </w:t>
      </w:r>
      <w:r>
        <w:rPr>
          <w:spacing w:val="0"/>
          <w:w w:val="100"/>
          <w:position w:val="0"/>
          <w:shd w:val="clear" w:color="auto" w:fill="auto"/>
          <w:lang w:val="en-US" w:eastAsia="en-US" w:bidi="en-US"/>
        </w:rPr>
        <w:t xml:space="preserve">we see that Rab Se'adyah was in the habit of explaining in addition to translating. Compare also Munk, “Notice </w:t>
      </w:r>
      <w:r>
        <w:rPr>
          <w:spacing w:val="0"/>
          <w:w w:val="100"/>
          <w:position w:val="0"/>
          <w:shd w:val="clear" w:color="auto" w:fill="auto"/>
          <w:lang w:val="fr-FR" w:eastAsia="fr-FR" w:bidi="fr-FR"/>
        </w:rPr>
        <w:t xml:space="preserve">sur </w:t>
      </w:r>
      <w:r>
        <w:rPr>
          <w:spacing w:val="0"/>
          <w:w w:val="100"/>
          <w:position w:val="0"/>
          <w:shd w:val="clear" w:color="auto" w:fill="auto"/>
          <w:lang w:val="en-US" w:eastAsia="en-US" w:bidi="en-US"/>
        </w:rPr>
        <w:t xml:space="preserve">Saadia,” in Cahen, </w:t>
      </w:r>
      <w:r>
        <w:rPr>
          <w:i/>
          <w:iCs/>
          <w:spacing w:val="0"/>
          <w:w w:val="100"/>
          <w:position w:val="0"/>
          <w:shd w:val="clear" w:color="auto" w:fill="auto"/>
          <w:lang w:val="en-US" w:eastAsia="en-US" w:bidi="en-US"/>
        </w:rPr>
        <w:t>La Bible</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(Isaïe), </w:t>
      </w:r>
      <w:r>
        <w:rPr>
          <w:spacing w:val="0"/>
          <w:w w:val="100"/>
          <w:position w:val="0"/>
          <w:shd w:val="clear" w:color="auto" w:fill="auto"/>
          <w:lang w:val="en-US" w:eastAsia="en-US" w:bidi="en-US"/>
        </w:rPr>
        <w:t>Paris, 1838, 8vo, p. 77, note 1.</w:t>
      </w:r>
    </w:p>
    <w:p>
      <w:pPr>
        <w:pStyle w:val="Style6"/>
        <w:keepNext w:val="0"/>
        <w:keepLines w:val="0"/>
        <w:widowControl w:val="0"/>
        <w:shd w:val="clear" w:color="auto" w:fill="auto"/>
        <w:tabs>
          <w:tab w:pos="256" w:val="left"/>
        </w:tabs>
        <w:bidi w:val="0"/>
        <w:spacing w:line="214"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ab/>
        <w:t xml:space="preserve">In the copyist’s subscription to this MS. the actual reading is not  </w:t>
      </w:r>
      <w:r>
        <w:rPr>
          <w:spacing w:val="0"/>
          <w:w w:val="100"/>
          <w:position w:val="0"/>
          <w:shd w:val="clear" w:color="auto" w:fill="auto"/>
          <w:lang w:val="en-US" w:eastAsia="en-US" w:bidi="en-US"/>
        </w:rPr>
        <w:t>צבראת</w:t>
      </w:r>
      <w:r>
        <w:rPr>
          <w:spacing w:val="0"/>
          <w:w w:val="100"/>
          <w:position w:val="0"/>
          <w:shd w:val="clear" w:color="auto" w:fill="auto"/>
          <w:lang w:val="en-US" w:eastAsia="en-US" w:bidi="en-US"/>
        </w:rPr>
        <w:t xml:space="preserve"> (Rapoport), but </w:t>
      </w:r>
      <w:r>
        <w:rPr>
          <w:spacing w:val="0"/>
          <w:w w:val="100"/>
          <w:position w:val="0"/>
          <w:shd w:val="clear" w:color="auto" w:fill="auto"/>
          <w:lang w:val="en-US" w:eastAsia="en-US" w:bidi="en-US"/>
        </w:rPr>
        <w:t>צבארת</w:t>
      </w:r>
      <w:r>
        <w:rPr>
          <w:spacing w:val="0"/>
          <w:w w:val="100"/>
          <w:position w:val="0"/>
          <w:shd w:val="clear" w:color="auto" w:fill="auto"/>
          <w:lang w:val="en-US" w:eastAsia="en-US" w:bidi="en-US"/>
        </w:rPr>
        <w:t xml:space="preserve">; this should be </w:t>
      </w:r>
      <w:r>
        <w:rPr>
          <w:spacing w:val="0"/>
          <w:w w:val="100"/>
          <w:position w:val="0"/>
          <w:shd w:val="clear" w:color="auto" w:fill="auto"/>
          <w:lang w:val="en-US" w:eastAsia="en-US" w:bidi="en-US"/>
        </w:rPr>
        <w:t>צבארת</w:t>
      </w:r>
      <w:r>
        <w:rPr>
          <w:spacing w:val="0"/>
          <w:w w:val="100"/>
          <w:position w:val="0"/>
          <w:shd w:val="clear" w:color="auto" w:fill="auto"/>
          <w:lang w:val="en-US" w:eastAsia="en-US" w:bidi="en-US"/>
        </w:rPr>
        <w:t>, as Munk prints it (“ Notice,” p. 108). The Bodleian MSS. are referred to in this article from personal inspection.</w:t>
      </w:r>
    </w:p>
    <w:p>
      <w:pPr>
        <w:pStyle w:val="Style6"/>
        <w:keepNext w:val="0"/>
        <w:keepLines w:val="0"/>
        <w:widowControl w:val="0"/>
        <w:shd w:val="clear" w:color="auto" w:fill="auto"/>
        <w:tabs>
          <w:tab w:pos="281" w:val="left"/>
        </w:tabs>
        <w:bidi w:val="0"/>
        <w:spacing w:line="214"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ab/>
        <w:t>The original codex on brownish paper, in square characters of Babylonian handwriting (14th cent.), is defective at beginning and end. The supplement at the beginning, containing also later matter,</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is in S. Arabian handwriting. The well-known “Ten reasons for Sounding the Trumpet on the Day of Memorial ” are not found in this Siddur (against Rapoport, </w:t>
      </w:r>
      <w:r>
        <w:rPr>
          <w:i/>
          <w:iCs/>
          <w:spacing w:val="0"/>
          <w:w w:val="100"/>
          <w:position w:val="0"/>
          <w:shd w:val="clear" w:color="auto" w:fill="auto"/>
          <w:lang w:val="en-US" w:eastAsia="en-US" w:bidi="en-US"/>
        </w:rPr>
        <w:t>ut supra,</w:t>
      </w:r>
      <w:r>
        <w:rPr>
          <w:spacing w:val="0"/>
          <w:w w:val="100"/>
          <w:position w:val="0"/>
          <w:shd w:val="clear" w:color="auto" w:fill="auto"/>
          <w:lang w:val="en-US" w:eastAsia="en-US" w:bidi="en-US"/>
        </w:rPr>
        <w:t xml:space="preserve"> note 21). The three poetical pieces published as five by Rosenberg </w:t>
      </w:r>
      <w:r>
        <w:rPr>
          <w:i/>
          <w:iCs/>
          <w:spacing w:val="0"/>
          <w:w w:val="100"/>
          <w:position w:val="0"/>
          <w:shd w:val="clear" w:color="auto" w:fill="auto"/>
          <w:lang w:val="de-DE" w:eastAsia="de-DE" w:bidi="de-DE"/>
        </w:rPr>
        <w:t>{Kobes,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ii., Berlin, 1856) form an integral part of the </w:t>
      </w:r>
      <w:r>
        <w:rPr>
          <w:i/>
          <w:iCs/>
          <w:spacing w:val="0"/>
          <w:w w:val="100"/>
          <w:position w:val="0"/>
          <w:shd w:val="clear" w:color="auto" w:fill="auto"/>
          <w:lang w:val="en-US" w:eastAsia="en-US" w:bidi="en-US"/>
        </w:rPr>
        <w:t>Siddur,</w:t>
      </w:r>
      <w:r>
        <w:rPr>
          <w:spacing w:val="0"/>
          <w:w w:val="100"/>
          <w:position w:val="0"/>
          <w:shd w:val="clear" w:color="auto" w:fill="auto"/>
          <w:lang w:val="en-US" w:eastAsia="en-US" w:bidi="en-US"/>
        </w:rPr>
        <w:t xml:space="preserve"> but bear on the surface marks of having been taken from a second-hand, if not a third-hand, copy, as the editor admits with regard to the “second petition.” The “Two Petitions” must have served Ibn Gebirol </w:t>
      </w:r>
      <w:r>
        <w:rPr>
          <w:smallCaps/>
          <w:spacing w:val="0"/>
          <w:w w:val="100"/>
          <w:position w:val="0"/>
          <w:shd w:val="clear" w:color="auto" w:fill="auto"/>
          <w:lang w:val="en-US" w:eastAsia="en-US" w:bidi="en-US"/>
        </w:rPr>
        <w:t>(Avicebkon)</w:t>
      </w:r>
      <w:r>
        <w:rPr>
          <w:spacing w:val="0"/>
          <w:w w:val="100"/>
          <w:position w:val="0"/>
          <w:shd w:val="clear" w:color="auto" w:fill="auto"/>
          <w:lang w:val="en-US" w:eastAsia="en-US" w:bidi="en-US"/>
        </w:rPr>
        <w:t xml:space="preserve"> as a model for the latter</w:t>
      </w:r>
    </w:p>
    <w:p>
      <w:pPr>
        <w:pStyle w:val="Style6"/>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 xml:space="preserve">or liturgical part of his </w:t>
      </w:r>
      <w:r>
        <w:rPr>
          <w:spacing w:val="0"/>
          <w:w w:val="100"/>
          <w:position w:val="0"/>
          <w:shd w:val="clear" w:color="auto" w:fill="auto"/>
          <w:lang w:val="en-US" w:eastAsia="en-US" w:bidi="en-US"/>
        </w:rPr>
        <w:t>מלכות</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בתר </w:t>
      </w:r>
      <w:r>
        <w:rPr>
          <w:spacing w:val="0"/>
          <w:w w:val="100"/>
          <w:position w:val="0"/>
          <w:shd w:val="clear" w:color="auto" w:fill="auto"/>
          <w:lang w:val="en-US" w:eastAsia="en-US" w:bidi="en-US"/>
        </w:rPr>
        <w:t>, just as he and others after him silently utilized Se'adyah’s philosophy.</w:t>
      </w:r>
    </w:p>
    <w:p>
      <w:pPr>
        <w:pStyle w:val="Style6"/>
        <w:keepNext w:val="0"/>
        <w:keepLines w:val="0"/>
        <w:widowControl w:val="0"/>
        <w:shd w:val="clear" w:color="auto" w:fill="auto"/>
        <w:tabs>
          <w:tab w:pos="288" w:val="left"/>
        </w:tabs>
        <w:bidi w:val="0"/>
        <w:spacing w:line="214" w:lineRule="auto"/>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ab/>
        <w:t xml:space="preserve">See </w:t>
      </w:r>
      <w:r>
        <w:rPr>
          <w:i/>
          <w:iCs/>
          <w:spacing w:val="0"/>
          <w:w w:val="100"/>
          <w:position w:val="0"/>
          <w:shd w:val="clear" w:color="auto" w:fill="auto"/>
          <w:lang w:val="en-US" w:eastAsia="en-US" w:bidi="en-US"/>
        </w:rPr>
        <w:t>Hoboth Hallebaboth</w:t>
      </w:r>
      <w:r>
        <w:rPr>
          <w:spacing w:val="0"/>
          <w:w w:val="100"/>
          <w:position w:val="0"/>
          <w:shd w:val="clear" w:color="auto" w:fill="auto"/>
          <w:lang w:val="en-US" w:eastAsia="en-US" w:bidi="en-US"/>
        </w:rPr>
        <w:t xml:space="preserve"> (preface) and </w:t>
      </w:r>
      <w:r>
        <w:rPr>
          <w:i/>
          <w:iCs/>
          <w:spacing w:val="0"/>
          <w:w w:val="100"/>
          <w:position w:val="0"/>
          <w:shd w:val="clear" w:color="auto" w:fill="auto"/>
          <w:lang w:val="en-US" w:eastAsia="en-US" w:bidi="en-US"/>
        </w:rPr>
        <w:t>Sibbub</w:t>
      </w:r>
      <w:r>
        <w:rPr>
          <w:spacing w:val="0"/>
          <w:w w:val="100"/>
          <w:position w:val="0"/>
          <w:shd w:val="clear" w:color="auto" w:fill="auto"/>
          <w:lang w:val="en-US" w:eastAsia="en-US" w:bidi="en-US"/>
        </w:rPr>
        <w:t xml:space="preserve"> (Travels) of R. Peth- ahyah of Ratisbon (London, 1861, 8vo, p. 22).</w:t>
      </w:r>
    </w:p>
    <w:p>
      <w:pPr>
        <w:pStyle w:val="Style6"/>
        <w:keepNext w:val="0"/>
        <w:keepLines w:val="0"/>
        <w:widowControl w:val="0"/>
        <w:shd w:val="clear" w:color="auto" w:fill="auto"/>
        <w:tabs>
          <w:tab w:pos="346" w:val="left"/>
        </w:tabs>
        <w:bidi w:val="0"/>
        <w:spacing w:line="214" w:lineRule="auto"/>
        <w:ind w:left="0" w:firstLine="360"/>
        <w:jc w:val="left"/>
      </w:pPr>
      <w:r>
        <w:rPr>
          <w:i/>
          <w:iCs/>
          <w:spacing w:val="0"/>
          <w:w w:val="100"/>
          <w:position w:val="0"/>
          <w:shd w:val="clear" w:color="auto" w:fill="auto"/>
          <w:vertAlign w:val="superscript"/>
          <w:lang w:val="en-US" w:eastAsia="en-US" w:bidi="en-US"/>
        </w:rPr>
        <w:t>@@@6</w:t>
      </w:r>
      <w:r>
        <w:rPr>
          <w:i/>
          <w:iCs/>
          <w:spacing w:val="0"/>
          <w:w w:val="100"/>
          <w:position w:val="0"/>
          <w:shd w:val="clear" w:color="auto" w:fill="auto"/>
          <w:lang w:val="en-US" w:eastAsia="en-US" w:bidi="en-US"/>
        </w:rPr>
        <w:tab/>
        <w:t>L.-B. d. Orients,</w:t>
      </w:r>
      <w:r>
        <w:rPr>
          <w:spacing w:val="0"/>
          <w:w w:val="100"/>
          <w:position w:val="0"/>
          <w:shd w:val="clear" w:color="auto" w:fill="auto"/>
          <w:lang w:val="en-US" w:eastAsia="en-US" w:bidi="en-US"/>
        </w:rPr>
        <w:t xml:space="preserve"> x. coll. 516, 541, 684.</w:t>
      </w:r>
    </w:p>
    <w:p>
      <w:pPr>
        <w:pStyle w:val="Style6"/>
        <w:keepNext w:val="0"/>
        <w:keepLines w:val="0"/>
        <w:widowControl w:val="0"/>
        <w:shd w:val="clear" w:color="auto" w:fill="auto"/>
        <w:tabs>
          <w:tab w:pos="350" w:val="left"/>
          <w:tab w:pos="2276" w:val="left"/>
        </w:tabs>
        <w:bidi w:val="0"/>
        <w:spacing w:line="214" w:lineRule="auto"/>
        <w:ind w:left="0" w:firstLine="360"/>
        <w:jc w:val="left"/>
      </w:pPr>
      <w:r>
        <w:rPr>
          <w:i/>
          <w:iCs/>
          <w:spacing w:val="0"/>
          <w:w w:val="100"/>
          <w:position w:val="0"/>
          <w:shd w:val="clear" w:color="auto" w:fill="auto"/>
          <w:vertAlign w:val="superscript"/>
          <w:lang w:val="en-US" w:eastAsia="en-US" w:bidi="en-US"/>
        </w:rPr>
        <w:t>@@@7</w:t>
      </w:r>
      <w:r>
        <w:rPr>
          <w:i/>
          <w:iCs/>
          <w:spacing w:val="0"/>
          <w:w w:val="100"/>
          <w:position w:val="0"/>
          <w:shd w:val="clear" w:color="auto" w:fill="auto"/>
          <w:lang w:val="en-US" w:eastAsia="en-US" w:bidi="en-US"/>
        </w:rPr>
        <w:tab/>
        <w:t>Ibid.,</w:t>
      </w:r>
      <w:r>
        <w:rPr>
          <w:spacing w:val="0"/>
          <w:w w:val="100"/>
          <w:position w:val="0"/>
          <w:shd w:val="clear" w:color="auto" w:fill="auto"/>
          <w:lang w:val="en-US" w:eastAsia="en-US" w:bidi="en-US"/>
        </w:rPr>
        <w:t xml:space="preserve"> coll. 516, 518.</w:t>
        <w:tab/>
      </w:r>
    </w:p>
    <w:p>
      <w:pPr>
        <w:pStyle w:val="Style6"/>
        <w:keepNext w:val="0"/>
        <w:keepLines w:val="0"/>
        <w:widowControl w:val="0"/>
        <w:shd w:val="clear" w:color="auto" w:fill="auto"/>
        <w:tabs>
          <w:tab w:pos="350" w:val="left"/>
          <w:tab w:pos="2276" w:val="left"/>
        </w:tabs>
        <w:bidi w:val="0"/>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See Rashi on Psalm xlv. 10.</w:t>
      </w:r>
    </w:p>
    <w:p>
      <w:pPr>
        <w:pStyle w:val="Style6"/>
        <w:keepNext w:val="0"/>
        <w:keepLines w:val="0"/>
        <w:widowControl w:val="0"/>
        <w:shd w:val="clear" w:color="auto" w:fill="auto"/>
        <w:tabs>
          <w:tab w:pos="2276" w:val="left"/>
        </w:tabs>
        <w:bidi w:val="0"/>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9</w:t>
      </w:r>
      <w:r>
        <w:rPr>
          <w:i/>
          <w:iCs/>
          <w:spacing w:val="0"/>
          <w:w w:val="100"/>
          <w:position w:val="0"/>
          <w:shd w:val="clear" w:color="auto" w:fill="auto"/>
          <w:lang w:val="en-US" w:eastAsia="en-US" w:bidi="en-US"/>
        </w:rPr>
        <w:t xml:space="preserve"> L.-B. d. Or.,</w:t>
      </w:r>
      <w:r>
        <w:rPr>
          <w:spacing w:val="0"/>
          <w:w w:val="100"/>
          <w:position w:val="0"/>
          <w:shd w:val="clear" w:color="auto" w:fill="auto"/>
          <w:lang w:val="en-US" w:eastAsia="en-US" w:bidi="en-US"/>
        </w:rPr>
        <w:t xml:space="preserve"> x. 518.</w:t>
        <w:tab/>
      </w:r>
    </w:p>
    <w:p>
      <w:pPr>
        <w:pStyle w:val="Style6"/>
        <w:keepNext w:val="0"/>
        <w:keepLines w:val="0"/>
        <w:widowControl w:val="0"/>
        <w:shd w:val="clear" w:color="auto" w:fill="auto"/>
        <w:tabs>
          <w:tab w:pos="2276" w:val="left"/>
        </w:tabs>
        <w:bidi w:val="0"/>
        <w:ind w:left="0" w:firstLine="36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10</w:t>
      </w:r>
      <w:r>
        <w:rPr>
          <w:i/>
          <w:iCs/>
          <w:spacing w:val="0"/>
          <w:w w:val="100"/>
          <w:position w:val="0"/>
          <w:shd w:val="clear" w:color="auto" w:fill="auto"/>
          <w:lang w:val="en-US" w:eastAsia="en-US" w:bidi="en-US"/>
        </w:rPr>
        <w:t xml:space="preserve"> Sibbub</w:t>
      </w:r>
      <w:r>
        <w:rPr>
          <w:spacing w:val="0"/>
          <w:w w:val="100"/>
          <w:position w:val="0"/>
          <w:shd w:val="clear" w:color="auto" w:fill="auto"/>
          <w:lang w:val="en-US" w:eastAsia="en-US" w:bidi="en-US"/>
        </w:rPr>
        <w:t xml:space="preserve"> (as in note 5 above).</w:t>
      </w:r>
    </w:p>
    <w:p>
      <w:pPr>
        <w:pStyle w:val="Style6"/>
        <w:keepNext w:val="0"/>
        <w:keepLines w:val="0"/>
        <w:widowControl w:val="0"/>
        <w:shd w:val="clear" w:color="auto" w:fill="auto"/>
        <w:tabs>
          <w:tab w:pos="400" w:val="left"/>
        </w:tabs>
        <w:bidi w:val="0"/>
        <w:ind w:left="0" w:firstLine="360"/>
        <w:jc w:val="left"/>
      </w:pP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ab/>
        <w:t xml:space="preserve">See </w:t>
      </w:r>
      <w:r>
        <w:rPr>
          <w:i/>
          <w:iCs/>
          <w:spacing w:val="0"/>
          <w:w w:val="100"/>
          <w:position w:val="0"/>
          <w:shd w:val="clear" w:color="auto" w:fill="auto"/>
          <w:lang w:val="en-US" w:eastAsia="en-US" w:bidi="en-US"/>
        </w:rPr>
        <w:t>Shem Haggedolini</w:t>
      </w:r>
      <w:r>
        <w:rPr>
          <w:spacing w:val="0"/>
          <w:w w:val="100"/>
          <w:position w:val="0"/>
          <w:shd w:val="clear" w:color="auto" w:fill="auto"/>
          <w:lang w:val="en-US" w:eastAsia="en-US" w:bidi="en-US"/>
        </w:rPr>
        <w:t xml:space="preserve"> (Vilna, 1852, 8vo), ii. leaf 16a, col. 2.</w:t>
      </w:r>
    </w:p>
    <w:p>
      <w:pPr>
        <w:pStyle w:val="Style6"/>
        <w:keepNext w:val="0"/>
        <w:keepLines w:val="0"/>
        <w:widowControl w:val="0"/>
        <w:shd w:val="clear" w:color="auto" w:fill="auto"/>
        <w:tabs>
          <w:tab w:pos="400" w:val="left"/>
        </w:tabs>
        <w:bidi w:val="0"/>
        <w:ind w:left="0" w:firstLine="360"/>
        <w:jc w:val="left"/>
      </w:pP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ab/>
        <w:t xml:space="preserve">See </w:t>
      </w:r>
      <w:r>
        <w:rPr>
          <w:i/>
          <w:iCs/>
          <w:spacing w:val="0"/>
          <w:w w:val="100"/>
          <w:position w:val="0"/>
          <w:shd w:val="clear" w:color="auto" w:fill="auto"/>
          <w:lang w:val="en-US" w:eastAsia="en-US" w:bidi="en-US"/>
        </w:rPr>
        <w:t>Sha'are Sedek (ut supra),</w:t>
      </w:r>
      <w:r>
        <w:rPr>
          <w:spacing w:val="0"/>
          <w:w w:val="100"/>
          <w:position w:val="0"/>
          <w:shd w:val="clear" w:color="auto" w:fill="auto"/>
          <w:lang w:val="en-US" w:eastAsia="en-US" w:bidi="en-US"/>
        </w:rPr>
        <w:t xml:space="preserve"> leaf 17b.</w:t>
      </w:r>
    </w:p>
    <w:p>
      <w:pPr>
        <w:pStyle w:val="Style6"/>
        <w:keepNext w:val="0"/>
        <w:keepLines w:val="0"/>
        <w:widowControl w:val="0"/>
        <w:shd w:val="clear" w:color="auto" w:fill="auto"/>
        <w:tabs>
          <w:tab w:pos="324" w:val="left"/>
        </w:tabs>
        <w:bidi w:val="0"/>
        <w:ind w:left="0" w:firstLine="360"/>
        <w:jc w:val="left"/>
      </w:pP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ab/>
        <w:t xml:space="preserve">See R. Menahem b. Shelomoh Iebeth Meir (commonly called Meiri) on </w:t>
      </w:r>
      <w:r>
        <w:rPr>
          <w:i/>
          <w:iCs/>
          <w:spacing w:val="0"/>
          <w:w w:val="100"/>
          <w:position w:val="0"/>
          <w:shd w:val="clear" w:color="auto" w:fill="auto"/>
          <w:lang w:val="en-US" w:eastAsia="en-US" w:bidi="en-US"/>
        </w:rPr>
        <w:t>Aboth</w:t>
      </w:r>
      <w:r>
        <w:rPr>
          <w:spacing w:val="0"/>
          <w:w w:val="100"/>
          <w:position w:val="0"/>
          <w:shd w:val="clear" w:color="auto" w:fill="auto"/>
          <w:lang w:val="en-US" w:eastAsia="en-US" w:bidi="en-US"/>
        </w:rPr>
        <w:t xml:space="preserve"> (Vienna, 1854, 8vo, Introduction, p. 17).</w:t>
      </w:r>
    </w:p>
    <w:p>
      <w:pPr>
        <w:pStyle w:val="Style6"/>
        <w:keepNext w:val="0"/>
        <w:keepLines w:val="0"/>
        <w:widowControl w:val="0"/>
        <w:shd w:val="clear" w:color="auto" w:fill="auto"/>
        <w:tabs>
          <w:tab w:pos="396" w:val="left"/>
        </w:tabs>
        <w:bidi w:val="0"/>
        <w:ind w:left="0" w:firstLine="360"/>
        <w:jc w:val="left"/>
      </w:pP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ab/>
        <w:t xml:space="preserve">See Rapoport, </w:t>
      </w:r>
      <w:r>
        <w:rPr>
          <w:i/>
          <w:iCs/>
          <w:spacing w:val="0"/>
          <w:w w:val="100"/>
          <w:position w:val="0"/>
          <w:shd w:val="clear" w:color="auto" w:fill="auto"/>
          <w:lang w:val="en-US" w:eastAsia="en-US" w:bidi="en-US"/>
        </w:rPr>
        <w:t>l.c.,</w:t>
      </w:r>
      <w:r>
        <w:rPr>
          <w:spacing w:val="0"/>
          <w:w w:val="100"/>
          <w:position w:val="0"/>
          <w:shd w:val="clear" w:color="auto" w:fill="auto"/>
          <w:lang w:val="en-US" w:eastAsia="en-US" w:bidi="en-US"/>
        </w:rPr>
        <w:t xml:space="preserve"> note 20.</w:t>
      </w:r>
    </w:p>
    <w:p>
      <w:pPr>
        <w:pStyle w:val="Style6"/>
        <w:keepNext w:val="0"/>
        <w:keepLines w:val="0"/>
        <w:widowControl w:val="0"/>
        <w:shd w:val="clear" w:color="auto" w:fill="auto"/>
        <w:tabs>
          <w:tab w:pos="389" w:val="left"/>
        </w:tabs>
        <w:bidi w:val="0"/>
        <w:ind w:left="0" w:firstLine="360"/>
        <w:jc w:val="left"/>
      </w:pP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ab/>
        <w:t xml:space="preserve">See Pinsker, </w:t>
      </w:r>
      <w:r>
        <w:rPr>
          <w:i/>
          <w:iCs/>
          <w:spacing w:val="0"/>
          <w:w w:val="100"/>
          <w:position w:val="0"/>
          <w:shd w:val="clear" w:color="auto" w:fill="auto"/>
          <w:lang w:val="en-US" w:eastAsia="en-US" w:bidi="en-US"/>
        </w:rPr>
        <w:t>Likkute Kadmoniyyoth</w:t>
      </w:r>
      <w:r>
        <w:rPr>
          <w:spacing w:val="0"/>
          <w:w w:val="100"/>
          <w:position w:val="0"/>
          <w:shd w:val="clear" w:color="auto" w:fill="auto"/>
          <w:lang w:val="en-US" w:eastAsia="en-US" w:bidi="en-US"/>
        </w:rPr>
        <w:t xml:space="preserve"> (Vienna, 1860, p. 174, note</w:t>
      </w:r>
    </w:p>
    <w:p>
      <w:pPr>
        <w:pStyle w:val="Style6"/>
        <w:keepNext w:val="0"/>
        <w:keepLines w:val="0"/>
        <w:widowControl w:val="0"/>
        <w:shd w:val="clear" w:color="auto" w:fill="auto"/>
        <w:tabs>
          <w:tab w:pos="2084" w:val="left"/>
        </w:tabs>
        <w:bidi w:val="0"/>
        <w:ind w:left="0" w:firstLine="0"/>
        <w:jc w:val="left"/>
      </w:pPr>
      <w:r>
        <w:rPr>
          <w:spacing w:val="0"/>
          <w:w w:val="100"/>
          <w:position w:val="0"/>
          <w:shd w:val="clear" w:color="auto" w:fill="auto"/>
          <w:lang w:val="en-US" w:eastAsia="en-US" w:bidi="en-US"/>
        </w:rPr>
        <w:t xml:space="preserve">1, in </w:t>
      </w:r>
      <w:r>
        <w:rPr>
          <w:i/>
          <w:iCs/>
          <w:spacing w:val="0"/>
          <w:w w:val="100"/>
          <w:position w:val="0"/>
          <w:shd w:val="clear" w:color="auto" w:fill="auto"/>
          <w:lang w:val="en-US" w:eastAsia="en-US" w:bidi="en-US"/>
        </w:rPr>
        <w:t>Nispahim).</w:t>
      </w:r>
      <w:r>
        <w:rPr>
          <w:spacing w:val="0"/>
          <w:w w:val="100"/>
          <w:position w:val="0"/>
          <w:shd w:val="clear" w:color="auto" w:fill="auto"/>
          <w:lang w:val="en-US" w:eastAsia="en-US" w:bidi="en-US"/>
        </w:rPr>
        <w:tab/>
      </w:r>
    </w:p>
    <w:p>
      <w:pPr>
        <w:pStyle w:val="Style6"/>
        <w:keepNext w:val="0"/>
        <w:keepLines w:val="0"/>
        <w:widowControl w:val="0"/>
        <w:shd w:val="clear" w:color="auto" w:fill="auto"/>
        <w:tabs>
          <w:tab w:pos="2084" w:val="left"/>
        </w:tabs>
        <w:bidi w:val="0"/>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See Rapoport, </w:t>
      </w:r>
      <w:r>
        <w:rPr>
          <w:i/>
          <w:iCs/>
          <w:spacing w:val="0"/>
          <w:w w:val="100"/>
          <w:position w:val="0"/>
          <w:shd w:val="clear" w:color="auto" w:fill="auto"/>
          <w:lang w:val="en-US" w:eastAsia="en-US" w:bidi="en-US"/>
        </w:rPr>
        <w:t>l.c.,</w:t>
      </w:r>
      <w:r>
        <w:rPr>
          <w:spacing w:val="0"/>
          <w:w w:val="100"/>
          <w:position w:val="0"/>
          <w:shd w:val="clear" w:color="auto" w:fill="auto"/>
          <w:lang w:val="en-US" w:eastAsia="en-US" w:bidi="en-US"/>
        </w:rPr>
        <w:t xml:space="preserve"> note 19.</w:t>
      </w:r>
    </w:p>
    <w:p>
      <w:pPr>
        <w:pStyle w:val="Style6"/>
        <w:keepNext w:val="0"/>
        <w:keepLines w:val="0"/>
        <w:widowControl w:val="0"/>
        <w:shd w:val="clear" w:color="auto" w:fill="auto"/>
        <w:tabs>
          <w:tab w:pos="396" w:val="left"/>
        </w:tabs>
        <w:bidi w:val="0"/>
        <w:ind w:left="0" w:firstLine="360"/>
        <w:jc w:val="left"/>
      </w:pP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ab/>
        <w:t xml:space="preserve">See </w:t>
      </w:r>
      <w:r>
        <w:rPr>
          <w:i/>
          <w:iCs/>
          <w:spacing w:val="0"/>
          <w:w w:val="100"/>
          <w:position w:val="0"/>
          <w:shd w:val="clear" w:color="auto" w:fill="auto"/>
          <w:lang w:val="en-US" w:eastAsia="en-US" w:bidi="en-US"/>
        </w:rPr>
        <w:t>L.-B. d. Or.,</w:t>
      </w:r>
      <w:r>
        <w:rPr>
          <w:spacing w:val="0"/>
          <w:w w:val="100"/>
          <w:position w:val="0"/>
          <w:shd w:val="clear" w:color="auto" w:fill="auto"/>
          <w:lang w:val="en-US" w:eastAsia="en-US" w:bidi="en-US"/>
        </w:rPr>
        <w:t xml:space="preserve"> xii. coll. 101, 102.</w:t>
      </w:r>
    </w:p>
    <w:p>
      <w:pPr>
        <w:pStyle w:val="Style6"/>
        <w:keepNext w:val="0"/>
        <w:keepLines w:val="0"/>
        <w:widowControl w:val="0"/>
        <w:shd w:val="clear" w:color="auto" w:fill="auto"/>
        <w:tabs>
          <w:tab w:pos="396" w:val="left"/>
        </w:tabs>
        <w:bidi w:val="0"/>
        <w:ind w:left="0" w:firstLine="360"/>
        <w:jc w:val="left"/>
      </w:pP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ab/>
        <w:t xml:space="preserve">See </w:t>
      </w:r>
      <w:r>
        <w:rPr>
          <w:i/>
          <w:iCs/>
          <w:spacing w:val="0"/>
          <w:w w:val="100"/>
          <w:position w:val="0"/>
          <w:shd w:val="clear" w:color="auto" w:fill="auto"/>
          <w:lang w:val="en-US" w:eastAsia="en-US" w:bidi="en-US"/>
        </w:rPr>
        <w:t>Sion</w:t>
      </w:r>
      <w:r>
        <w:rPr>
          <w:spacing w:val="0"/>
          <w:w w:val="100"/>
          <w:position w:val="0"/>
          <w:shd w:val="clear" w:color="auto" w:fill="auto"/>
          <w:lang w:val="en-US" w:eastAsia="en-US" w:bidi="en-US"/>
        </w:rPr>
        <w:t xml:space="preserve"> (Frankfort-on-Main, 1842-43, 8vo), ii. p. 137.</w:t>
      </w:r>
    </w:p>
    <w:p>
      <w:pPr>
        <w:pStyle w:val="Style6"/>
        <w:keepNext w:val="0"/>
        <w:keepLines w:val="0"/>
        <w:widowControl w:val="0"/>
        <w:shd w:val="clear" w:color="auto" w:fill="auto"/>
        <w:tabs>
          <w:tab w:pos="404" w:val="left"/>
          <w:tab w:pos="3028" w:val="left"/>
        </w:tabs>
        <w:bidi w:val="0"/>
        <w:ind w:left="0" w:firstLine="360"/>
        <w:jc w:val="left"/>
      </w:pP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ab/>
        <w:t xml:space="preserve">See Pinsker </w:t>
      </w:r>
      <w:r>
        <w:rPr>
          <w:i/>
          <w:iCs/>
          <w:spacing w:val="0"/>
          <w:w w:val="100"/>
          <w:position w:val="0"/>
          <w:shd w:val="clear" w:color="auto" w:fill="auto"/>
          <w:lang w:val="en-US" w:eastAsia="en-US" w:bidi="en-US"/>
        </w:rPr>
        <w:t>(ut supra),</w:t>
      </w:r>
      <w:r>
        <w:rPr>
          <w:spacing w:val="0"/>
          <w:w w:val="100"/>
          <w:position w:val="0"/>
          <w:shd w:val="clear" w:color="auto" w:fill="auto"/>
          <w:lang w:val="en-US" w:eastAsia="en-US" w:bidi="en-US"/>
        </w:rPr>
        <w:t xml:space="preserve"> p. 103.</w:t>
        <w:tab/>
      </w:r>
    </w:p>
    <w:p>
      <w:pPr>
        <w:pStyle w:val="Style6"/>
        <w:keepNext w:val="0"/>
        <w:keepLines w:val="0"/>
        <w:widowControl w:val="0"/>
        <w:shd w:val="clear" w:color="auto" w:fill="auto"/>
        <w:tabs>
          <w:tab w:pos="404" w:val="left"/>
          <w:tab w:pos="3028" w:val="left"/>
        </w:tabs>
        <w:bidi w:val="0"/>
        <w:spacing w:line="218"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20</w:t>
      </w:r>
      <w:r>
        <w:rPr>
          <w:i/>
          <w:iCs/>
          <w:spacing w:val="0"/>
          <w:w w:val="100"/>
          <w:position w:val="0"/>
          <w:shd w:val="clear" w:color="auto" w:fill="auto"/>
          <w:lang w:val="en-US" w:eastAsia="en-US" w:bidi="en-US"/>
        </w:rPr>
        <w:t xml:space="preserve"> Sion</w:t>
      </w:r>
      <w:r>
        <w:rPr>
          <w:spacing w:val="0"/>
          <w:w w:val="100"/>
          <w:position w:val="0"/>
          <w:shd w:val="clear" w:color="auto" w:fill="auto"/>
          <w:lang w:val="en-US" w:eastAsia="en-US" w:bidi="en-US"/>
        </w:rPr>
        <w:t xml:space="preserve"> (as before).</w:t>
      </w:r>
    </w:p>
    <w:p>
      <w:pPr>
        <w:pStyle w:val="Style6"/>
        <w:keepNext w:val="0"/>
        <w:keepLines w:val="0"/>
        <w:widowControl w:val="0"/>
        <w:shd w:val="clear" w:color="auto" w:fill="auto"/>
        <w:tabs>
          <w:tab w:pos="335" w:val="left"/>
        </w:tabs>
        <w:bidi w:val="0"/>
        <w:spacing w:line="218" w:lineRule="auto"/>
        <w:ind w:left="0" w:firstLine="360"/>
        <w:jc w:val="left"/>
      </w:pP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ab/>
        <w:t>On this commentator see Ibn 'Ezra on Exodus xxi. 24. From this passage we learn that Se'adyah and Ben Zitta were contemporaries, and even had oral controversies with one another.</w:t>
      </w:r>
    </w:p>
    <w:p>
      <w:pPr>
        <w:pStyle w:val="Style6"/>
        <w:keepNext w:val="0"/>
        <w:keepLines w:val="0"/>
        <w:widowControl w:val="0"/>
        <w:shd w:val="clear" w:color="auto" w:fill="auto"/>
        <w:tabs>
          <w:tab w:pos="342" w:val="left"/>
        </w:tabs>
        <w:bidi w:val="0"/>
        <w:spacing w:line="218" w:lineRule="auto"/>
        <w:ind w:left="0" w:firstLine="360"/>
        <w:jc w:val="left"/>
      </w:pP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ab/>
        <w:t xml:space="preserve">See </w:t>
      </w:r>
      <w:r>
        <w:rPr>
          <w:i/>
          <w:iCs/>
          <w:spacing w:val="0"/>
          <w:w w:val="100"/>
          <w:position w:val="0"/>
          <w:shd w:val="clear" w:color="auto" w:fill="auto"/>
          <w:lang w:val="en-US" w:eastAsia="en-US" w:bidi="en-US"/>
        </w:rPr>
        <w:t>Halikhoth Kedem,</w:t>
      </w:r>
      <w:r>
        <w:rPr>
          <w:spacing w:val="0"/>
          <w:w w:val="100"/>
          <w:position w:val="0"/>
          <w:shd w:val="clear" w:color="auto" w:fill="auto"/>
          <w:lang w:val="en-US" w:eastAsia="en-US" w:bidi="en-US"/>
        </w:rPr>
        <w:t xml:space="preserve"> Amsterdam, 1846, p. 71. Hiwi al-Balkhi had raised strong objections against the truth of Scripture in his </w:t>
      </w:r>
      <w:r>
        <w:rPr>
          <w:i/>
          <w:iCs/>
          <w:spacing w:val="0"/>
          <w:w w:val="100"/>
          <w:position w:val="0"/>
          <w:shd w:val="clear" w:color="auto" w:fill="auto"/>
          <w:lang w:val="en-US" w:eastAsia="en-US" w:bidi="en-US"/>
        </w:rPr>
        <w:t>Two Hundred Questions,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Objections to the Bible.</w:t>
      </w:r>
    </w:p>
    <w:p>
      <w:pPr>
        <w:pStyle w:val="Style6"/>
        <w:keepNext w:val="0"/>
        <w:keepLines w:val="0"/>
        <w:widowControl w:val="0"/>
        <w:shd w:val="clear" w:color="auto" w:fill="auto"/>
        <w:tabs>
          <w:tab w:pos="328" w:val="left"/>
        </w:tabs>
        <w:bidi w:val="0"/>
        <w:spacing w:line="218" w:lineRule="auto"/>
        <w:ind w:left="0" w:firstLine="360"/>
        <w:jc w:val="left"/>
      </w:pP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ab/>
        <w:t xml:space="preserve">The editions </w:t>
      </w:r>
      <w:r>
        <w:rPr>
          <w:spacing w:val="0"/>
          <w:w w:val="100"/>
          <w:position w:val="0"/>
          <w:shd w:val="clear" w:color="auto" w:fill="auto"/>
          <w:lang w:val="de-DE" w:eastAsia="de-DE" w:bidi="de-DE"/>
        </w:rPr>
        <w:t xml:space="preserve">“Prag”, </w:t>
      </w:r>
      <w:r>
        <w:rPr>
          <w:spacing w:val="0"/>
          <w:w w:val="100"/>
          <w:position w:val="0"/>
          <w:shd w:val="clear" w:color="auto" w:fill="auto"/>
          <w:lang w:val="en-US" w:eastAsia="en-US" w:bidi="en-US"/>
        </w:rPr>
        <w:t xml:space="preserve">1782 </w:t>
      </w:r>
      <w:r>
        <w:rPr>
          <w:spacing w:val="0"/>
          <w:w w:val="100"/>
          <w:position w:val="0"/>
          <w:shd w:val="clear" w:color="auto" w:fill="auto"/>
          <w:lang w:val="de-DE" w:eastAsia="de-DE" w:bidi="de-DE"/>
        </w:rPr>
        <w:t xml:space="preserve">(Steinschneider), </w:t>
      </w:r>
      <w:r>
        <w:rPr>
          <w:spacing w:val="0"/>
          <w:w w:val="100"/>
          <w:position w:val="0"/>
          <w:shd w:val="clear" w:color="auto" w:fill="auto"/>
          <w:lang w:val="en-US" w:eastAsia="en-US" w:bidi="en-US"/>
        </w:rPr>
        <w:t>and Nowydwor, 1783 (Zedner), are probablv the same as that of Frankfort with different titles.</w:t>
      </w:r>
    </w:p>
    <w:p>
      <w:pPr>
        <w:widowControl w:val="0"/>
        <w:spacing w:line="1" w:lineRule="exact"/>
      </w:pPr>
    </w:p>
    <w:sectPr>
      <w:footnotePr>
        <w:pos w:val="pageBottom"/>
        <w:numFmt w:val="decimal"/>
        <w:numRestart w:val="continuous"/>
      </w:footnotePr>
      <w:pgSz w:w="12240" w:h="16840"/>
      <w:pgMar w:top="2102" w:left="1290" w:right="1431" w:bottom="937" w:header="1674" w:footer="509" w:gutter="0"/>
      <w:pgNumType w:start="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upperRoman"/>
      <w:lvlText w:val="%1."/>
      <w:rPr>
        <w:rFonts w:ascii="Times New Roman" w:eastAsia="Times New Roman" w:hAnsi="Times New Roman" w:cs="Times New Roman"/>
        <w:b w:val="0"/>
        <w:bCs w:val="0"/>
        <w:i w:val="0"/>
        <w:iCs w:val="0"/>
        <w:smallCaps w:val="0"/>
        <w:strike w:val="0"/>
        <w:color w:val="746C54"/>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