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literary composition are very numerous. Indeed, a subject of this description—involving such nice distinctions as regards the various kinds of poetic composition, the particular subjects and characters adapted for them, and the different sentiments or mental condi- tions capable of being both depictured and called forth by them— could not but be congenial to the Indian mind. H. H. Wilson, in his </w:t>
      </w:r>
      <w:r>
        <w:rPr>
          <w:i/>
          <w:iCs/>
          <w:spacing w:val="0"/>
          <w:w w:val="100"/>
          <w:position w:val="0"/>
          <w:shd w:val="clear" w:color="auto" w:fill="auto"/>
          <w:lang w:val="en-US" w:eastAsia="en-US" w:bidi="en-US"/>
        </w:rPr>
        <w:t>Theatre of the Hindus,</w:t>
      </w:r>
      <w:r>
        <w:rPr>
          <w:spacing w:val="0"/>
          <w:w w:val="100"/>
          <w:position w:val="0"/>
          <w:shd w:val="clear" w:color="auto" w:fill="auto"/>
          <w:lang w:val="en-US" w:eastAsia="en-US" w:bidi="en-US"/>
        </w:rPr>
        <w:t xml:space="preserve"> has given a detailed account of these theoretic distinctions with special reference to the drama, which, as tho most perfect and varied kind of poetic production, usually takes an important place in the theory of literary composition. The </w:t>
      </w:r>
      <w:r>
        <w:rPr>
          <w:i/>
          <w:iCs/>
          <w:spacing w:val="0"/>
          <w:w w:val="100"/>
          <w:position w:val="0"/>
          <w:shd w:val="clear" w:color="auto" w:fill="auto"/>
          <w:lang w:val="en-US" w:eastAsia="en-US" w:bidi="en-US"/>
        </w:rPr>
        <w:t>Bharata-</w:t>
      </w:r>
      <w:r>
        <w:rPr>
          <w:i/>
          <w:iCs/>
          <w:spacing w:val="0"/>
          <w:w w:val="100"/>
          <w:position w:val="0"/>
          <w:shd w:val="clear" w:color="auto" w:fill="auto"/>
          <w:lang w:val="en-US" w:eastAsia="en-US" w:bidi="en-US"/>
        </w:rPr>
        <w:t>śâstra</w:t>
      </w:r>
      <w:r>
        <w:rPr>
          <w:spacing w:val="0"/>
          <w:w w:val="100"/>
          <w:position w:val="0"/>
          <w:shd w:val="clear" w:color="auto" w:fill="auto"/>
          <w:lang w:val="en-US" w:eastAsia="en-US" w:bidi="en-US"/>
        </w:rPr>
        <w:t xml:space="preserve"> has already been alluded to as probably the oldest extant work in this department of literature. Another comparatively ancient treatise is the </w:t>
      </w:r>
      <w:r>
        <w:rPr>
          <w:i/>
          <w:iCs/>
          <w:spacing w:val="0"/>
          <w:w w:val="100"/>
          <w:position w:val="0"/>
          <w:shd w:val="clear" w:color="auto" w:fill="auto"/>
          <w:lang w:val="en-US" w:eastAsia="en-US" w:bidi="en-US"/>
        </w:rPr>
        <w:t>K</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vy</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dar</w:t>
      </w:r>
      <w:r>
        <w:rPr>
          <w:i/>
          <w:iCs/>
          <w:spacing w:val="0"/>
          <w:w w:val="100"/>
          <w:position w:val="0"/>
          <w:shd w:val="clear" w:color="auto" w:fill="auto"/>
          <w:lang w:val="en-US" w:eastAsia="en-US" w:bidi="en-US"/>
        </w:rPr>
        <w:t>ś</w:t>
      </w:r>
      <w:r>
        <w:rPr>
          <w:i/>
          <w:iCs/>
          <w:spacing w:val="0"/>
          <w:w w:val="100"/>
          <w:position w:val="0"/>
          <w:shd w:val="clear" w:color="auto" w:fill="auto"/>
          <w:lang w:val="en-US" w:eastAsia="en-US" w:bidi="en-US"/>
        </w:rPr>
        <w:t>a, @@</w:t>
      </w:r>
      <w:r>
        <w:rPr>
          <w:i/>
          <w:iCs/>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or “mirror of poetry,” in three chapters, by Dandin, the author of the novel Dasakumaracharita, who probably flourished not long after Kalidasa (whose Prakrit poem Setubandha he quotes) in the 6th century. The work consists of three chapters, treating—(1) of two different local styles </w:t>
      </w:r>
      <w:r>
        <w:rPr>
          <w:i/>
          <w:iCs/>
          <w:spacing w:val="0"/>
          <w:w w:val="100"/>
          <w:position w:val="0"/>
          <w:shd w:val="clear" w:color="auto" w:fill="auto"/>
          <w:lang w:val="en-US" w:eastAsia="en-US" w:bidi="en-US"/>
        </w:rPr>
        <w:t>(r</w:t>
      </w:r>
      <w:r>
        <w:rPr>
          <w:i/>
          <w:iCs/>
          <w:spacing w:val="0"/>
          <w:w w:val="100"/>
          <w:position w:val="0"/>
          <w:shd w:val="clear" w:color="auto" w:fill="auto"/>
          <w:lang w:val="en-US" w:eastAsia="en-US" w:bidi="en-US"/>
        </w:rPr>
        <w:t>î</w:t>
      </w:r>
      <w:r>
        <w:rPr>
          <w:i/>
          <w:iCs/>
          <w:spacing w:val="0"/>
          <w:w w:val="100"/>
          <w:position w:val="0"/>
          <w:shd w:val="clear" w:color="auto" w:fill="auto"/>
          <w:lang w:val="en-US" w:eastAsia="en-US" w:bidi="en-US"/>
        </w:rPr>
        <w:t>ti)</w:t>
      </w:r>
      <w:r>
        <w:rPr>
          <w:spacing w:val="0"/>
          <w:w w:val="100"/>
          <w:position w:val="0"/>
          <w:shd w:val="clear" w:color="auto" w:fill="auto"/>
          <w:lang w:val="en-US" w:eastAsia="en-US" w:bidi="en-US"/>
        </w:rPr>
        <w:t xml:space="preserve"> of poetry, the Gaudi and the Vaidarbhi (to which later critics add four others, the P</w:t>
      </w:r>
      <w:r>
        <w:rPr>
          <w:spacing w:val="0"/>
          <w:w w:val="100"/>
          <w:position w:val="0"/>
          <w:shd w:val="clear" w:color="auto" w:fill="auto"/>
          <w:lang w:val="en-US" w:eastAsia="en-US" w:bidi="en-US"/>
        </w:rPr>
        <w:t>â</w:t>
      </w:r>
      <w:r>
        <w:rPr>
          <w:spacing w:val="0"/>
          <w:w w:val="100"/>
          <w:position w:val="0"/>
          <w:shd w:val="clear" w:color="auto" w:fill="auto"/>
          <w:lang w:val="en-US" w:eastAsia="en-US" w:bidi="en-US"/>
        </w:rPr>
        <w:t>nch</w:t>
      </w:r>
      <w:r>
        <w:rPr>
          <w:spacing w:val="0"/>
          <w:w w:val="100"/>
          <w:position w:val="0"/>
          <w:shd w:val="clear" w:color="auto" w:fill="auto"/>
          <w:lang w:val="en-US" w:eastAsia="en-US" w:bidi="en-US"/>
        </w:rPr>
        <w:t>â</w:t>
      </w:r>
      <w:r>
        <w:rPr>
          <w:spacing w:val="0"/>
          <w:w w:val="100"/>
          <w:position w:val="0"/>
          <w:shd w:val="clear" w:color="auto" w:fill="auto"/>
          <w:lang w:val="en-US" w:eastAsia="en-US" w:bidi="en-US"/>
        </w:rPr>
        <w:t>l</w:t>
      </w:r>
      <w:r>
        <w:rPr>
          <w:spacing w:val="0"/>
          <w:w w:val="100"/>
          <w:position w:val="0"/>
          <w:shd w:val="clear" w:color="auto" w:fill="auto"/>
          <w:lang w:val="en-US" w:eastAsia="en-US" w:bidi="en-US"/>
        </w:rPr>
        <w:t>î</w:t>
      </w:r>
      <w:r>
        <w:rPr>
          <w:spacing w:val="0"/>
          <w:w w:val="100"/>
          <w:position w:val="0"/>
          <w:shd w:val="clear" w:color="auto" w:fill="auto"/>
          <w:lang w:val="en-US" w:eastAsia="en-US" w:bidi="en-US"/>
        </w:rPr>
        <w:t>, Magadh</w:t>
      </w:r>
      <w:r>
        <w:rPr>
          <w:spacing w:val="0"/>
          <w:w w:val="100"/>
          <w:position w:val="0"/>
          <w:shd w:val="clear" w:color="auto" w:fill="auto"/>
          <w:lang w:val="en-US" w:eastAsia="en-US" w:bidi="en-US"/>
        </w:rPr>
        <w:t>î</w:t>
      </w:r>
      <w:r>
        <w:rPr>
          <w:spacing w:val="0"/>
          <w:w w:val="100"/>
          <w:position w:val="0"/>
          <w:shd w:val="clear" w:color="auto" w:fill="auto"/>
          <w:lang w:val="en-US" w:eastAsia="en-US" w:bidi="en-US"/>
        </w:rPr>
        <w:t xml:space="preserve">, Lati, and Avantika); (2) of the graces and ornaments of style, as tropes, figures, similes; (3) of alliteration, literary puzzles, and twelve kinds of faults to be avoided in composing poems. Another treatise on rhetoric, in Sutras, with a commentary entitled </w:t>
      </w:r>
      <w:r>
        <w:rPr>
          <w:i/>
          <w:iCs/>
          <w:spacing w:val="0"/>
          <w:w w:val="100"/>
          <w:position w:val="0"/>
          <w:shd w:val="clear" w:color="auto" w:fill="auto"/>
          <w:lang w:val="en-US" w:eastAsia="en-US" w:bidi="en-US"/>
        </w:rPr>
        <w:t>K</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vy</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lank</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ra-vritti,</w:t>
      </w:r>
      <w:r>
        <w:rPr>
          <w:spacing w:val="0"/>
          <w:w w:val="100"/>
          <w:position w:val="0"/>
          <w:shd w:val="clear" w:color="auto" w:fill="auto"/>
          <w:lang w:val="en-US" w:eastAsia="en-US" w:bidi="en-US"/>
        </w:rPr>
        <w:t xml:space="preserve"> is ascribed to Vamana. Prof. Cappeller, to whom we owe an edition of this work, is inclined to fix it as late as the 12th century ; but it may turn out to be somewhat older. The </w:t>
      </w:r>
      <w:r>
        <w:rPr>
          <w:i/>
          <w:iCs/>
          <w:spacing w:val="0"/>
          <w:w w:val="100"/>
          <w:position w:val="0"/>
          <w:shd w:val="clear" w:color="auto" w:fill="auto"/>
          <w:lang w:val="en-US" w:eastAsia="en-US" w:bidi="en-US"/>
        </w:rPr>
        <w:t>K</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vy</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lank</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ra,</w:t>
      </w:r>
      <w:r>
        <w:rPr>
          <w:spacing w:val="0"/>
          <w:w w:val="100"/>
          <w:position w:val="0"/>
          <w:shd w:val="clear" w:color="auto" w:fill="auto"/>
          <w:lang w:val="en-US" w:eastAsia="en-US" w:bidi="en-US"/>
        </w:rPr>
        <w:t xml:space="preserve"> by the Kashmirian Rudrata, must have been composed prior to the 11th century, as a gloss on it (by Nami), which professes to be based on older commentaries, was written in 1068. Dhananjaya, the author of the </w:t>
      </w:r>
      <w:r>
        <w:rPr>
          <w:i/>
          <w:iCs/>
          <w:spacing w:val="0"/>
          <w:w w:val="100"/>
          <w:position w:val="0"/>
          <w:shd w:val="clear" w:color="auto" w:fill="auto"/>
          <w:lang w:val="en-US" w:eastAsia="en-US" w:bidi="en-US"/>
        </w:rPr>
        <w:t>Da</w:t>
      </w:r>
      <w:r>
        <w:rPr>
          <w:i/>
          <w:iCs/>
          <w:spacing w:val="0"/>
          <w:w w:val="100"/>
          <w:position w:val="0"/>
          <w:shd w:val="clear" w:color="auto" w:fill="auto"/>
          <w:lang w:val="en-US" w:eastAsia="en-US" w:bidi="en-US"/>
        </w:rPr>
        <w:t>ś</w:t>
      </w:r>
      <w:r>
        <w:rPr>
          <w:i/>
          <w:iCs/>
          <w:spacing w:val="0"/>
          <w:w w:val="100"/>
          <w:position w:val="0"/>
          <w:shd w:val="clear" w:color="auto" w:fill="auto"/>
          <w:lang w:val="en-US" w:eastAsia="en-US" w:bidi="en-US"/>
        </w:rPr>
        <w:t>a- r</w:t>
      </w:r>
      <w:r>
        <w:rPr>
          <w:i/>
          <w:iCs/>
          <w:spacing w:val="0"/>
          <w:w w:val="100"/>
          <w:position w:val="0"/>
          <w:shd w:val="clear" w:color="auto" w:fill="auto"/>
          <w:lang w:val="en-US" w:eastAsia="en-US" w:bidi="en-US"/>
        </w:rPr>
        <w:t>û</w:t>
      </w:r>
      <w:r>
        <w:rPr>
          <w:i/>
          <w:iCs/>
          <w:spacing w:val="0"/>
          <w:w w:val="100"/>
          <w:position w:val="0"/>
          <w:shd w:val="clear" w:color="auto" w:fill="auto"/>
          <w:lang w:val="en-US" w:eastAsia="en-US" w:bidi="en-US"/>
        </w:rPr>
        <w:t>pa, @@</w:t>
      </w:r>
      <w:r>
        <w:rPr>
          <w:i/>
          <w:iCs/>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or “ten forms' (of plays),” the favourite compendium of dramaturgy, appears to have flourished in the 10th century. In the concluding stanza he is stated to have composed his work at the court of King Munja, who is probably identical with the well- known Malava prince, the uncle and predecessor of King Bhoja of Dh</w:t>
      </w:r>
      <w:r>
        <w:rPr>
          <w:spacing w:val="0"/>
          <w:w w:val="100"/>
          <w:position w:val="0"/>
          <w:shd w:val="clear" w:color="auto" w:fill="auto"/>
          <w:lang w:val="en-US" w:eastAsia="en-US" w:bidi="en-US"/>
        </w:rPr>
        <w:t>â</w:t>
      </w:r>
      <w:r>
        <w:rPr>
          <w:spacing w:val="0"/>
          <w:w w:val="100"/>
          <w:position w:val="0"/>
          <w:shd w:val="clear" w:color="auto" w:fill="auto"/>
          <w:lang w:val="en-US" w:eastAsia="en-US" w:bidi="en-US"/>
        </w:rPr>
        <w:t>r</w:t>
      </w:r>
      <w:r>
        <w:rPr>
          <w:spacing w:val="0"/>
          <w:w w:val="100"/>
          <w:position w:val="0"/>
          <w:shd w:val="clear" w:color="auto" w:fill="auto"/>
          <w:lang w:val="en-US" w:eastAsia="en-US" w:bidi="en-US"/>
        </w:rPr>
        <w:t>â</w:t>
      </w:r>
      <w:r>
        <w:rPr>
          <w:spacing w:val="0"/>
          <w:w w:val="100"/>
          <w:position w:val="0"/>
          <w:shd w:val="clear" w:color="auto" w:fill="auto"/>
          <w:lang w:val="en-US" w:eastAsia="en-US" w:bidi="en-US"/>
        </w:rPr>
        <w:t>. The Da</w:t>
      </w:r>
      <w:r>
        <w:rPr>
          <w:spacing w:val="0"/>
          <w:w w:val="100"/>
          <w:position w:val="0"/>
          <w:shd w:val="clear" w:color="auto" w:fill="auto"/>
          <w:lang w:val="en-US" w:eastAsia="en-US" w:bidi="en-US"/>
        </w:rPr>
        <w:t>ś</w:t>
      </w:r>
      <w:r>
        <w:rPr>
          <w:spacing w:val="0"/>
          <w:w w:val="100"/>
          <w:position w:val="0"/>
          <w:shd w:val="clear" w:color="auto" w:fill="auto"/>
          <w:lang w:val="en-US" w:eastAsia="en-US" w:bidi="en-US"/>
        </w:rPr>
        <w:t>ar</w:t>
      </w:r>
      <w:r>
        <w:rPr>
          <w:spacing w:val="0"/>
          <w:w w:val="100"/>
          <w:position w:val="0"/>
          <w:shd w:val="clear" w:color="auto" w:fill="auto"/>
          <w:lang w:val="en-US" w:eastAsia="en-US" w:bidi="en-US"/>
        </w:rPr>
        <w:t>û</w:t>
      </w:r>
      <w:r>
        <w:rPr>
          <w:spacing w:val="0"/>
          <w:w w:val="100"/>
          <w:position w:val="0"/>
          <w:shd w:val="clear" w:color="auto" w:fill="auto"/>
          <w:lang w:val="en-US" w:eastAsia="en-US" w:bidi="en-US"/>
        </w:rPr>
        <w:t xml:space="preserve">pa was early commented upon by Dhanika, possibly the author’s own brother, their father’s name being the same (Vishnu). Dhanika quotes Rajasekhara, who is supposed to have flourished about 1000 </w:t>
      </w:r>
      <w:r>
        <w:rPr>
          <w:b/>
          <w:bCs/>
          <w:spacing w:val="0"/>
          <w:w w:val="100"/>
          <w:position w:val="0"/>
          <w:sz w:val="8"/>
          <w:szCs w:val="8"/>
          <w:shd w:val="clear" w:color="auto" w:fill="auto"/>
          <w:lang w:val="en-US" w:eastAsia="en-US" w:bidi="en-US"/>
        </w:rPr>
        <w:t>A.D., @@</w:t>
      </w:r>
      <w:r>
        <w:rPr>
          <w:b/>
          <w:bCs/>
          <w:spacing w:val="0"/>
          <w:w w:val="100"/>
          <w:position w:val="0"/>
          <w:sz w:val="8"/>
          <w:szCs w:val="8"/>
          <w:shd w:val="clear" w:color="auto" w:fill="auto"/>
          <w:vertAlign w:val="superscript"/>
          <w:lang w:val="en-US" w:eastAsia="en-US" w:bidi="en-US"/>
        </w:rPr>
        <w:t>8</w:t>
      </w:r>
      <w:r>
        <w:rPr>
          <w:b/>
          <w:bCs/>
          <w:spacing w:val="0"/>
          <w:w w:val="100"/>
          <w:position w:val="0"/>
          <w:sz w:val="8"/>
          <w:szCs w:val="8"/>
          <w:shd w:val="clear" w:color="auto" w:fill="auto"/>
          <w:lang w:val="en-US" w:eastAsia="en-US" w:bidi="en-US"/>
        </w:rPr>
        <w:t xml:space="preserve"> </w:t>
      </w:r>
      <w:r>
        <w:rPr>
          <w:spacing w:val="0"/>
          <w:w w:val="100"/>
          <w:position w:val="0"/>
          <w:shd w:val="clear" w:color="auto" w:fill="auto"/>
          <w:lang w:val="en-US" w:eastAsia="en-US" w:bidi="en-US"/>
        </w:rPr>
        <w:t xml:space="preserve">but may after all have to be put somewhat earlier. The </w:t>
      </w:r>
      <w:r>
        <w:rPr>
          <w:i/>
          <w:iCs/>
          <w:spacing w:val="0"/>
          <w:w w:val="100"/>
          <w:position w:val="0"/>
          <w:shd w:val="clear" w:color="auto" w:fill="auto"/>
          <w:lang w:val="en-US" w:eastAsia="en-US" w:bidi="en-US"/>
        </w:rPr>
        <w:t>Sarasvat</w:t>
      </w:r>
      <w:r>
        <w:rPr>
          <w:i/>
          <w:iCs/>
          <w:spacing w:val="0"/>
          <w:w w:val="100"/>
          <w:position w:val="0"/>
          <w:shd w:val="clear" w:color="auto" w:fill="auto"/>
          <w:lang w:val="en-US" w:eastAsia="en-US" w:bidi="en-US"/>
        </w:rPr>
        <w:t>î</w:t>
      </w:r>
      <w:r>
        <w:rPr>
          <w:i/>
          <w:iCs/>
          <w:spacing w:val="0"/>
          <w:w w:val="100"/>
          <w:position w:val="0"/>
          <w:shd w:val="clear" w:color="auto" w:fill="auto"/>
          <w:lang w:val="en-US" w:eastAsia="en-US" w:bidi="en-US"/>
        </w:rPr>
        <w:t>-kanth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bharana,</w:t>
      </w:r>
      <w:r>
        <w:rPr>
          <w:spacing w:val="0"/>
          <w:w w:val="100"/>
          <w:position w:val="0"/>
          <w:shd w:val="clear" w:color="auto" w:fill="auto"/>
          <w:lang w:val="en-US" w:eastAsia="en-US" w:bidi="en-US"/>
        </w:rPr>
        <w:t xml:space="preserve"> “the neck- ornament of Sarasvati (the goddess of eloquence),” a treatise, in five chapters, on poetics generally, remarkable for its wealth of quotations, is ascribed to King Bhoja himself (11th century), pro</w:t>
        <w:softHyphen/>
        <w:t xml:space="preserve">bably as a compliment by some writer patronized by him. The </w:t>
      </w:r>
      <w:r>
        <w:rPr>
          <w:i/>
          <w:iCs/>
          <w:spacing w:val="0"/>
          <w:w w:val="100"/>
          <w:position w:val="0"/>
          <w:shd w:val="clear" w:color="auto" w:fill="auto"/>
          <w:lang w:val="en-US" w:eastAsia="en-US" w:bidi="en-US"/>
        </w:rPr>
        <w:t>K</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vya-prak</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sa, @@4</w:t>
      </w:r>
      <w:r>
        <w:rPr>
          <w:spacing w:val="0"/>
          <w:w w:val="100"/>
          <w:position w:val="0"/>
          <w:shd w:val="clear" w:color="auto" w:fill="auto"/>
          <w:lang w:val="en-US" w:eastAsia="en-US" w:bidi="en-US"/>
        </w:rPr>
        <w:t xml:space="preserve"> “the lustre of poetry,” another esteemed work of the same class, in ten sections, was probably composed in the 12th century,—the author, Mammata, a Kashmirian, having been the maternal uncle of Sri-Harsha, the author of the Naisliadhiya. The </w:t>
      </w:r>
      <w:r>
        <w:rPr>
          <w:i/>
          <w:iCs/>
          <w:spacing w:val="0"/>
          <w:w w:val="100"/>
          <w:position w:val="0"/>
          <w:shd w:val="clear" w:color="auto" w:fill="auto"/>
          <w:lang w:val="en-US" w:eastAsia="en-US" w:bidi="en-US"/>
        </w:rPr>
        <w:t>Sdhitya-darpana, @@5</w:t>
      </w:r>
      <w:r>
        <w:rPr>
          <w:spacing w:val="0"/>
          <w:w w:val="100"/>
          <w:position w:val="0"/>
          <w:shd w:val="clear" w:color="auto" w:fill="auto"/>
          <w:lang w:val="en-US" w:eastAsia="en-US" w:bidi="en-US"/>
        </w:rPr>
        <w:t xml:space="preserve"> or “mirror of composition,” the standard work on literary criticism, was composed in the 15th century, on the banks of the Brahmaputra, by Vi</w:t>
      </w:r>
      <w:r>
        <w:rPr>
          <w:spacing w:val="0"/>
          <w:w w:val="100"/>
          <w:position w:val="0"/>
          <w:shd w:val="clear" w:color="auto" w:fill="auto"/>
          <w:lang w:val="en-US" w:eastAsia="en-US" w:bidi="en-US"/>
        </w:rPr>
        <w:t>ś</w:t>
      </w:r>
      <w:r>
        <w:rPr>
          <w:spacing w:val="0"/>
          <w:w w:val="100"/>
          <w:position w:val="0"/>
          <w:shd w:val="clear" w:color="auto" w:fill="auto"/>
          <w:lang w:val="en-US" w:eastAsia="en-US" w:bidi="en-US"/>
        </w:rPr>
        <w:t>vanatha Kavir</w:t>
      </w:r>
      <w:r>
        <w:rPr>
          <w:spacing w:val="0"/>
          <w:w w:val="100"/>
          <w:position w:val="0"/>
          <w:shd w:val="clear" w:color="auto" w:fill="auto"/>
          <w:lang w:val="en-US" w:eastAsia="en-US" w:bidi="en-US"/>
        </w:rPr>
        <w:t>â</w:t>
      </w:r>
      <w:r>
        <w:rPr>
          <w:spacing w:val="0"/>
          <w:w w:val="100"/>
          <w:position w:val="0"/>
          <w:shd w:val="clear" w:color="auto" w:fill="auto"/>
          <w:lang w:val="en-US" w:eastAsia="en-US" w:bidi="en-US"/>
        </w:rPr>
        <w:t>ja. The work consists of ten chapters, treating of the following subjects :—(1) the nature of poetry ; (2) the sentence ; (3) poetic flavour (rasa) ; (4) the divisions of poetry ; (5) the functions of literary suggestion ; (6) visible and audible poetry (chiefly on dramatic art); (7) faults of style ; (8) merits of style ; (9) distinction of styles ; (10) ornaments of style.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VIII. </w:t>
      </w:r>
      <w:r>
        <w:rPr>
          <w:smallCaps/>
          <w:spacing w:val="0"/>
          <w:w w:val="100"/>
          <w:position w:val="0"/>
          <w:shd w:val="clear" w:color="auto" w:fill="auto"/>
          <w:lang w:val="en-US" w:eastAsia="en-US" w:bidi="en-US"/>
        </w:rPr>
        <w:t xml:space="preserve">Medicine </w:t>
      </w:r>
      <w:r>
        <w:rPr>
          <w:i/>
          <w:iCs/>
          <w:spacing w:val="0"/>
          <w:w w:val="100"/>
          <w:position w:val="0"/>
          <w:shd w:val="clear" w:color="auto" w:fill="auto"/>
          <w:lang w:val="en-US" w:eastAsia="en-US" w:bidi="en-US"/>
        </w:rPr>
        <w:t>(</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yur-veda, Vaidya-</w:t>
      </w:r>
      <w:r>
        <w:rPr>
          <w:i/>
          <w:iCs/>
          <w:spacing w:val="0"/>
          <w:w w:val="100"/>
          <w:position w:val="0"/>
          <w:shd w:val="clear" w:color="auto" w:fill="auto"/>
          <w:lang w:val="en-US" w:eastAsia="en-US" w:bidi="en-US"/>
        </w:rPr>
        <w:t>śâ</w:t>
      </w:r>
      <w:r>
        <w:rPr>
          <w:i/>
          <w:iCs/>
          <w:spacing w:val="0"/>
          <w:w w:val="100"/>
          <w:position w:val="0"/>
          <w:shd w:val="clear" w:color="auto" w:fill="auto"/>
          <w:lang w:val="en-US" w:eastAsia="en-US" w:bidi="en-US"/>
        </w:rPr>
        <w:t>stra).—</w:t>
      </w:r>
      <w:r>
        <w:rPr>
          <w:spacing w:val="0"/>
          <w:w w:val="100"/>
          <w:position w:val="0"/>
          <w:shd w:val="clear" w:color="auto" w:fill="auto"/>
          <w:lang w:val="en-US" w:eastAsia="en-US" w:bidi="en-US"/>
        </w:rPr>
        <w:t>Though the early cultivation of the healing art is amply attested by frequent allu</w:t>
        <w:softHyphen/>
        <w:t>sions in the Vedic writings, it was doubtless not till a much later period that the medical practice advanced beyond a certain degree of empirical skill and pharmaceutic routine. From the simultaneous mention of the three humours (wind, bile, phlegm) in a v</w:t>
      </w:r>
      <w:r>
        <w:rPr>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rttika to Panini (v. 1, 38), some kind of humoral pathology would, however, seem to have been prevalent among Indian physicians several centuries before our era. The oldest existing work is supposed to be the </w:t>
      </w:r>
      <w:r>
        <w:rPr>
          <w:i/>
          <w:iCs/>
          <w:spacing w:val="0"/>
          <w:w w:val="100"/>
          <w:position w:val="0"/>
          <w:shd w:val="clear" w:color="auto" w:fill="auto"/>
          <w:lang w:val="en-US" w:eastAsia="en-US" w:bidi="en-US"/>
        </w:rPr>
        <w:t>Charalca-sarphitd, @@</w:t>
      </w:r>
      <w:r>
        <w:rPr>
          <w:i/>
          <w:iCs/>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a bulky cyclopaedia in </w:t>
      </w:r>
      <w:r>
        <w:rPr>
          <w:spacing w:val="0"/>
          <w:w w:val="100"/>
          <w:position w:val="0"/>
          <w:shd w:val="clear" w:color="auto" w:fill="auto"/>
          <w:lang w:val="en-US" w:eastAsia="en-US" w:bidi="en-US"/>
        </w:rPr>
        <w:t>ś</w:t>
      </w:r>
      <w:r>
        <w:rPr>
          <w:spacing w:val="0"/>
          <w:w w:val="100"/>
          <w:position w:val="0"/>
          <w:shd w:val="clear" w:color="auto" w:fill="auto"/>
          <w:lang w:val="en-US" w:eastAsia="en-US" w:bidi="en-US"/>
        </w:rPr>
        <w:t xml:space="preserve">lokas, mixed with prose sections, which consists of eight chapters, and was probably composed some centuries after Christ. Of equal authority, but probably somewhat more modern, is the </w:t>
      </w:r>
      <w:r>
        <w:rPr>
          <w:i/>
          <w:iCs/>
          <w:spacing w:val="0"/>
          <w:w w:val="100"/>
          <w:position w:val="0"/>
          <w:shd w:val="clear" w:color="auto" w:fill="auto"/>
          <w:lang w:val="en-US" w:eastAsia="en-US" w:bidi="en-US"/>
        </w:rPr>
        <w:t>Su</w:t>
      </w:r>
      <w:r>
        <w:rPr>
          <w:i/>
          <w:iCs/>
          <w:spacing w:val="0"/>
          <w:w w:val="100"/>
          <w:position w:val="0"/>
          <w:shd w:val="clear" w:color="auto" w:fill="auto"/>
          <w:lang w:val="en-US" w:eastAsia="en-US" w:bidi="en-US"/>
        </w:rPr>
        <w:t>ś</w:t>
      </w:r>
      <w:r>
        <w:rPr>
          <w:i/>
          <w:iCs/>
          <w:spacing w:val="0"/>
          <w:w w:val="100"/>
          <w:position w:val="0"/>
          <w:shd w:val="clear" w:color="auto" w:fill="auto"/>
          <w:lang w:val="en-US" w:eastAsia="en-US" w:bidi="en-US"/>
        </w:rPr>
        <w:t>ruta</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samhit</w:t>
      </w:r>
      <w:r>
        <w:rPr>
          <w:i/>
          <w:iCs/>
          <w:spacing w:val="0"/>
          <w:w w:val="100"/>
          <w:position w:val="0"/>
          <w:shd w:val="clear" w:color="auto" w:fill="auto"/>
          <w:lang w:val="en-US" w:eastAsia="en-US" w:bidi="en-US"/>
        </w:rPr>
        <w:t>â</w:t>
      </w:r>
      <w:r>
        <w:rPr>
          <w:spacing w:val="0"/>
          <w:w w:val="100"/>
          <w:position w:val="0"/>
          <w:shd w:val="clear" w:color="auto" w:fill="auto"/>
          <w:lang w:val="en-US" w:eastAsia="en-US" w:bidi="en-US"/>
        </w:rPr>
        <w:t>), @@</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which Susruta is said to have received from Dhanvantari, the Indian AEsculapius, whose name, however, appears also among the “nine gems” (c. 550 </w:t>
      </w:r>
      <w:r>
        <w:rPr>
          <w:b/>
          <w:bCs/>
          <w:spacing w:val="0"/>
          <w:w w:val="100"/>
          <w:position w:val="0"/>
          <w:sz w:val="8"/>
          <w:szCs w:val="8"/>
          <w:shd w:val="clear" w:color="auto" w:fill="auto"/>
          <w:lang w:val="en-US" w:eastAsia="en-US" w:bidi="en-US"/>
        </w:rPr>
        <w:t xml:space="preserve">A.D.). </w:t>
      </w:r>
      <w:r>
        <w:rPr>
          <w:spacing w:val="0"/>
          <w:w w:val="100"/>
          <w:position w:val="0"/>
          <w:shd w:val="clear" w:color="auto" w:fill="auto"/>
          <w:lang w:val="en-US" w:eastAsia="en-US" w:bidi="en-US"/>
        </w:rPr>
        <w:t>It consists of six chapters, and is likewise composed in mixed verse and prose,—the greater simplicity of arrangement, as well as some slight attention paid in it to surgery, betokening an advance upon Charaka. Both works are, however, characterized by great prolixity, and contain much matter which has little connexion with medicine. The late Prof. B. Haas, in two very suggestive papers, @@</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 xml:space="preserve"> tried to show that the work of Susruta</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(identified by him with Socrates, so often confounded in the Middle Ages with Hippocrates) was probably not composed till after the Mohammedan conquest, and that, so far from the Arabs (as they themselves declare) having derived some of their knowledge of medical science from Indian authorities, the Indian Vaidya</w:t>
      </w:r>
      <w:r>
        <w:rPr>
          <w:spacing w:val="0"/>
          <w:w w:val="100"/>
          <w:position w:val="0"/>
          <w:shd w:val="clear" w:color="auto" w:fill="auto"/>
          <w:lang w:val="en-US" w:eastAsia="en-US" w:bidi="en-US"/>
        </w:rPr>
        <w:t>ś</w:t>
      </w:r>
      <w:r>
        <w:rPr>
          <w:spacing w:val="0"/>
          <w:w w:val="100"/>
          <w:position w:val="0"/>
          <w:shd w:val="clear" w:color="auto" w:fill="auto"/>
          <w:lang w:val="en-US" w:eastAsia="en-US" w:bidi="en-US"/>
        </w:rPr>
        <w:t>astra was nothing but a poor copy of Greek medicine, as transmitted by the Arabs. But even though Greek influence may be traced in this as in other branches of Indian science, there can be no doubt, @@</w:t>
      </w:r>
      <w:r>
        <w:rPr>
          <w:spacing w:val="0"/>
          <w:w w:val="100"/>
          <w:position w:val="0"/>
          <w:shd w:val="clear" w:color="auto" w:fill="auto"/>
          <w:vertAlign w:val="superscript"/>
          <w:lang w:val="en-US" w:eastAsia="en-US" w:bidi="en-US"/>
        </w:rPr>
        <w:t>9</w:t>
      </w:r>
      <w:r>
        <w:rPr>
          <w:spacing w:val="0"/>
          <w:w w:val="100"/>
          <w:position w:val="0"/>
          <w:shd w:val="clear" w:color="auto" w:fill="auto"/>
          <w:lang w:val="en-US" w:eastAsia="en-US" w:bidi="en-US"/>
        </w:rPr>
        <w:t xml:space="preserve"> at any rate, that both Charaka and Susruta were known to the Arab Razi (c. 932 </w:t>
      </w:r>
      <w:r>
        <w:rPr>
          <w:b/>
          <w:bCs/>
          <w:spacing w:val="0"/>
          <w:w w:val="100"/>
          <w:position w:val="0"/>
          <w:sz w:val="8"/>
          <w:szCs w:val="8"/>
          <w:shd w:val="clear" w:color="auto" w:fill="auto"/>
          <w:lang w:val="en-US" w:eastAsia="en-US" w:bidi="en-US"/>
        </w:rPr>
        <w:t xml:space="preserve">A.D.), </w:t>
      </w:r>
      <w:r>
        <w:rPr>
          <w:spacing w:val="0"/>
          <w:w w:val="100"/>
          <w:position w:val="0"/>
          <w:shd w:val="clear" w:color="auto" w:fill="auto"/>
          <w:lang w:val="en-US" w:eastAsia="en-US" w:bidi="en-US"/>
        </w:rPr>
        <w:t xml:space="preserve">and to the author of the Fihrist (completed 987 </w:t>
      </w:r>
      <w:r>
        <w:rPr>
          <w:smallCaps/>
          <w:spacing w:val="0"/>
          <w:w w:val="100"/>
          <w:position w:val="0"/>
          <w:shd w:val="clear" w:color="auto" w:fill="auto"/>
          <w:lang w:val="en-US" w:eastAsia="en-US" w:bidi="en-US"/>
        </w:rPr>
        <w:t>a.d.),</w:t>
      </w:r>
      <w:r>
        <w:rPr>
          <w:spacing w:val="0"/>
          <w:w w:val="100"/>
          <w:position w:val="0"/>
          <w:shd w:val="clear" w:color="auto" w:fill="auto"/>
          <w:lang w:val="en-US" w:eastAsia="en-US" w:bidi="en-US"/>
        </w:rPr>
        <w:t xml:space="preserve"> and that their works must therefore have existed, in some form or other, at least as early as the 9th century. Among the numerous later medical works the most important general compendiums are Vagbhata’s </w:t>
      </w:r>
      <w:r>
        <w:rPr>
          <w:i/>
          <w:iCs/>
          <w:spacing w:val="0"/>
          <w:w w:val="100"/>
          <w:position w:val="0"/>
          <w:shd w:val="clear" w:color="auto" w:fill="auto"/>
          <w:lang w:val="en-US" w:eastAsia="en-US" w:bidi="en-US"/>
        </w:rPr>
        <w:t>Asht</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 xml:space="preserve">nga-hridaya, </w:t>
      </w:r>
      <w:r>
        <w:rPr>
          <w:spacing w:val="0"/>
          <w:w w:val="100"/>
          <w:position w:val="0"/>
          <w:shd w:val="clear" w:color="auto" w:fill="auto"/>
          <w:lang w:val="en-US" w:eastAsia="en-US" w:bidi="en-US"/>
        </w:rPr>
        <w:t xml:space="preserve">“the heart of tho eight-limbed (body of medical science),” and Bliava Misra’s </w:t>
      </w:r>
      <w:r>
        <w:rPr>
          <w:i/>
          <w:iCs/>
          <w:spacing w:val="0"/>
          <w:w w:val="100"/>
          <w:position w:val="0"/>
          <w:shd w:val="clear" w:color="auto" w:fill="auto"/>
          <w:lang w:val="en-US" w:eastAsia="en-US" w:bidi="en-US"/>
        </w:rPr>
        <w:t>Bh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va-prak</w:t>
      </w:r>
      <w:r>
        <w:rPr>
          <w:i/>
          <w:iCs/>
          <w:spacing w:val="0"/>
          <w:w w:val="100"/>
          <w:position w:val="0"/>
          <w:shd w:val="clear" w:color="auto" w:fill="auto"/>
          <w:lang w:val="en-US" w:eastAsia="en-US" w:bidi="en-US"/>
        </w:rPr>
        <w:t>âś</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while of special treatises may be mentioned Madhava’s system of nosology, the </w:t>
      </w:r>
      <w:r>
        <w:rPr>
          <w:i/>
          <w:iCs/>
          <w:spacing w:val="0"/>
          <w:w w:val="100"/>
          <w:position w:val="0"/>
          <w:shd w:val="clear" w:color="auto" w:fill="auto"/>
          <w:lang w:val="en-US" w:eastAsia="en-US" w:bidi="en-US"/>
        </w:rPr>
        <w:t>Rugvini</w:t>
      </w:r>
      <w:r>
        <w:rPr>
          <w:i/>
          <w:iCs/>
          <w:spacing w:val="0"/>
          <w:w w:val="100"/>
          <w:position w:val="0"/>
          <w:shd w:val="clear" w:color="auto" w:fill="auto"/>
          <w:lang w:val="en-US" w:eastAsia="en-US" w:bidi="en-US"/>
        </w:rPr>
        <w:t>śc</w:t>
      </w:r>
      <w:r>
        <w:rPr>
          <w:i/>
          <w:iCs/>
          <w:spacing w:val="0"/>
          <w:w w:val="100"/>
          <w:position w:val="0"/>
          <w:shd w:val="clear" w:color="auto" w:fill="auto"/>
          <w:lang w:val="en-US" w:eastAsia="en-US" w:bidi="en-US"/>
        </w:rPr>
        <w:t>haya,</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M</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dh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va-nid</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na,</w:t>
      </w:r>
      <w:r>
        <w:rPr>
          <w:spacing w:val="0"/>
          <w:w w:val="100"/>
          <w:position w:val="0"/>
          <w:shd w:val="clear" w:color="auto" w:fill="auto"/>
          <w:lang w:val="en-US" w:eastAsia="en-US" w:bidi="en-US"/>
        </w:rPr>
        <w:t xml:space="preserve"> and Sarngadhara’s compendium of therapeutics, the </w:t>
      </w:r>
      <w:r>
        <w:rPr>
          <w:i/>
          <w:iCs/>
          <w:spacing w:val="0"/>
          <w:w w:val="100"/>
          <w:position w:val="0"/>
          <w:shd w:val="clear" w:color="auto" w:fill="auto"/>
          <w:lang w:val="en-US" w:eastAsia="en-US" w:bidi="en-US"/>
        </w:rPr>
        <w:t>S</w:t>
      </w:r>
      <w:r>
        <w:rPr>
          <w:i/>
          <w:iCs/>
          <w:spacing w:val="0"/>
          <w:w w:val="100"/>
          <w:position w:val="0"/>
          <w:shd w:val="clear" w:color="auto" w:fill="auto"/>
          <w:lang w:val="en-US" w:eastAsia="en-US" w:bidi="en-US"/>
        </w:rPr>
        <w:t>ârn</w:t>
      </w:r>
      <w:r>
        <w:rPr>
          <w:i/>
          <w:iCs/>
          <w:spacing w:val="0"/>
          <w:w w:val="100"/>
          <w:position w:val="0"/>
          <w:shd w:val="clear" w:color="auto" w:fill="auto"/>
          <w:lang w:val="en-US" w:eastAsia="en-US" w:bidi="en-US"/>
        </w:rPr>
        <w:t>gadhara-samhit</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Materia medica, with which India is so lavishly endowed by nature, is a favourite subject with Hindu medical writers,—the most valued treatise being the </w:t>
      </w:r>
      <w:r>
        <w:rPr>
          <w:i/>
          <w:iCs/>
          <w:spacing w:val="0"/>
          <w:w w:val="100"/>
          <w:position w:val="0"/>
          <w:shd w:val="clear" w:color="auto" w:fill="auto"/>
          <w:lang w:val="en-US" w:eastAsia="en-US" w:bidi="en-US"/>
        </w:rPr>
        <w:t>R</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 xml:space="preserve">ja-nighantu, </w:t>
      </w:r>
      <w:r>
        <w:rPr>
          <w:spacing w:val="0"/>
          <w:w w:val="100"/>
          <w:position w:val="0"/>
          <w:shd w:val="clear" w:color="auto" w:fill="auto"/>
          <w:lang w:val="en-US" w:eastAsia="en-US" w:bidi="en-US"/>
        </w:rPr>
        <w:t xml:space="preserve">by the Kashmirian Narahari. The best general view of this branch of Indian science is continued in T. A. Wise’s </w:t>
      </w:r>
      <w:r>
        <w:rPr>
          <w:i/>
          <w:iCs/>
          <w:spacing w:val="0"/>
          <w:w w:val="100"/>
          <w:position w:val="0"/>
          <w:shd w:val="clear" w:color="auto" w:fill="auto"/>
          <w:lang w:val="en-US" w:eastAsia="en-US" w:bidi="en-US"/>
        </w:rPr>
        <w:t>Commentary on Hindu Medicine,</w:t>
      </w:r>
      <w:r>
        <w:rPr>
          <w:spacing w:val="0"/>
          <w:w w:val="100"/>
          <w:position w:val="0"/>
          <w:shd w:val="clear" w:color="auto" w:fill="auto"/>
          <w:lang w:val="en-US" w:eastAsia="en-US" w:bidi="en-US"/>
        </w:rPr>
        <w:t xml:space="preserve"> 1845, and in his </w:t>
      </w:r>
      <w:r>
        <w:rPr>
          <w:i/>
          <w:iCs/>
          <w:spacing w:val="0"/>
          <w:w w:val="100"/>
          <w:position w:val="0"/>
          <w:shd w:val="clear" w:color="auto" w:fill="auto"/>
          <w:lang w:val="en-US" w:eastAsia="en-US" w:bidi="en-US"/>
        </w:rPr>
        <w:t>History of Medicine,</w:t>
      </w:r>
      <w:r>
        <w:rPr>
          <w:spacing w:val="0"/>
          <w:w w:val="100"/>
          <w:position w:val="0"/>
          <w:shd w:val="clear" w:color="auto" w:fill="auto"/>
          <w:lang w:val="en-US" w:eastAsia="en-US" w:bidi="en-US"/>
        </w:rPr>
        <w:t xml:space="preserve"> vol. i., 1867 ; but the whole subject, including the principal original works, still awaits a critical investigation.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IX. </w:t>
      </w:r>
      <w:r>
        <w:rPr>
          <w:smallCaps/>
          <w:spacing w:val="0"/>
          <w:w w:val="100"/>
          <w:position w:val="0"/>
          <w:shd w:val="clear" w:color="auto" w:fill="auto"/>
          <w:lang w:val="en-US" w:eastAsia="en-US" w:bidi="en-US"/>
        </w:rPr>
        <w:t>Astronomy and Mathematics.</w:t>
      </w:r>
      <w:r>
        <w:rPr>
          <w:spacing w:val="0"/>
          <w:w w:val="100"/>
          <w:position w:val="0"/>
          <w:shd w:val="clear" w:color="auto" w:fill="auto"/>
          <w:lang w:val="en-US" w:eastAsia="en-US" w:bidi="en-US"/>
        </w:rPr>
        <w:t>—Hindu astronomy may be broadly divided into a pre-scientific and a scientific period. While the latter clearly presupposes a knowledge of the researches of Hipparchus and other Greek astronomers, it is still doubtful whether the earlier astronomical and astrological theories of Indian writers were entirely of home growth or partly derived from foreign sources. From very ancient (probably Indo-European) times chronological calculations were based on the synodical revolutions of the moon,—the difference between twelve such revolutions (making together 354 days) and the solar year being adjusted by the in</w:t>
        <w:softHyphen/>
        <w:t xml:space="preserve">sertion, at the time of the winter solstice, of twelve additional days. Besides this primitive mode the Rigveda also alludes to the method prevalent in post-Vedic times, according to which the year is divided into twelve </w:t>
      </w:r>
      <w:r>
        <w:rPr>
          <w:i/>
          <w:iCs/>
          <w:spacing w:val="0"/>
          <w:w w:val="100"/>
          <w:position w:val="0"/>
          <w:shd w:val="clear" w:color="auto" w:fill="auto"/>
          <w:lang w:val="en-US" w:eastAsia="en-US" w:bidi="en-US"/>
        </w:rPr>
        <w:t>(s</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vana</w:t>
      </w:r>
      <w:r>
        <w:rPr>
          <w:spacing w:val="0"/>
          <w:w w:val="100"/>
          <w:position w:val="0"/>
          <w:shd w:val="clear" w:color="auto" w:fill="auto"/>
          <w:lang w:val="en-US" w:eastAsia="en-US" w:bidi="en-US"/>
        </w:rPr>
        <w:t xml:space="preserve"> or solar) months of thirty days, with a thir</w:t>
        <w:softHyphen/>
        <w:t xml:space="preserve">teenth month intercalated every fifth year. This quinquennial cycle </w:t>
      </w:r>
      <w:r>
        <w:rPr>
          <w:i/>
          <w:iCs/>
          <w:spacing w:val="0"/>
          <w:w w:val="100"/>
          <w:position w:val="0"/>
          <w:shd w:val="clear" w:color="auto" w:fill="auto"/>
          <w:lang w:val="en-US" w:eastAsia="en-US" w:bidi="en-US"/>
        </w:rPr>
        <w:t>(yuga)</w:t>
      </w:r>
      <w:r>
        <w:rPr>
          <w:spacing w:val="0"/>
          <w:w w:val="100"/>
          <w:position w:val="0"/>
          <w:shd w:val="clear" w:color="auto" w:fill="auto"/>
          <w:lang w:val="en-US" w:eastAsia="en-US" w:bidi="en-US"/>
        </w:rPr>
        <w:t xml:space="preserve"> is explained in the </w:t>
      </w:r>
      <w:r>
        <w:rPr>
          <w:i/>
          <w:iCs/>
          <w:spacing w:val="0"/>
          <w:w w:val="100"/>
          <w:position w:val="0"/>
          <w:shd w:val="clear" w:color="auto" w:fill="auto"/>
          <w:lang w:val="en-US" w:eastAsia="en-US" w:bidi="en-US"/>
        </w:rPr>
        <w:t>Jyotisha,</w:t>
      </w:r>
      <w:r>
        <w:rPr>
          <w:spacing w:val="0"/>
          <w:w w:val="100"/>
          <w:position w:val="0"/>
          <w:shd w:val="clear" w:color="auto" w:fill="auto"/>
          <w:lang w:val="en-US" w:eastAsia="en-US" w:bidi="en-US"/>
        </w:rPr>
        <w:t xml:space="preserve"> regarded as the oldest astronomical treatise. An institution which occupies an important part in those early speculations is the theory of the so-called lunar zodiac, or system of lunar mansions, by which the planetary path, in accordance with the duration of the moon’s rotation, is divided iuto twenty-seven or twenty-eight different stations, named after certain constellations </w:t>
      </w:r>
      <w:r>
        <w:rPr>
          <w:i/>
          <w:iCs/>
          <w:spacing w:val="0"/>
          <w:w w:val="100"/>
          <w:position w:val="0"/>
          <w:shd w:val="clear" w:color="auto" w:fill="auto"/>
          <w:lang w:val="en-US" w:eastAsia="en-US" w:bidi="en-US"/>
        </w:rPr>
        <w:t>(nakshatra)</w:t>
      </w:r>
      <w:r>
        <w:rPr>
          <w:spacing w:val="0"/>
          <w:w w:val="100"/>
          <w:position w:val="0"/>
          <w:shd w:val="clear" w:color="auto" w:fill="auto"/>
          <w:lang w:val="en-US" w:eastAsia="en-US" w:bidi="en-US"/>
        </w:rPr>
        <w:t xml:space="preserve"> which are found alongside of tho ecliptic, and with which the moon (masc.) was supposed to dwell successively during his circuit. The same institution is found in China and Arabia; but it is still doubtful @@</w:t>
      </w:r>
      <w:r>
        <w:rPr>
          <w:spacing w:val="0"/>
          <w:w w:val="100"/>
          <w:position w:val="0"/>
          <w:shd w:val="clear" w:color="auto" w:fill="auto"/>
          <w:vertAlign w:val="superscript"/>
          <w:lang w:val="en-US" w:eastAsia="en-US" w:bidi="en-US"/>
        </w:rPr>
        <w:t>10</w:t>
      </w:r>
      <w:r>
        <w:rPr>
          <w:spacing w:val="0"/>
          <w:w w:val="100"/>
          <w:position w:val="0"/>
          <w:shd w:val="clear" w:color="auto" w:fill="auto"/>
          <w:lang w:val="en-US" w:eastAsia="en-US" w:bidi="en-US"/>
        </w:rPr>
        <w:t xml:space="preserve"> whether the Hindus, as some scholars hold, or the Clialdseans, as Prof. Weber thinks, are to be credited with the invention of this theory. The principal works of this period are hitherto known from quotations only, viz., the </w:t>
      </w:r>
      <w:r>
        <w:rPr>
          <w:i/>
          <w:iCs/>
          <w:spacing w:val="0"/>
          <w:w w:val="100"/>
          <w:position w:val="0"/>
          <w:shd w:val="clear" w:color="auto" w:fill="auto"/>
          <w:lang w:val="en-US" w:eastAsia="en-US" w:bidi="en-US"/>
        </w:rPr>
        <w:t>G</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rgi Samhit</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which Prof. Kern would fix at c. </w:t>
      </w:r>
      <w:r>
        <w:rPr>
          <w:b/>
          <w:bCs/>
          <w:spacing w:val="0"/>
          <w:w w:val="100"/>
          <w:position w:val="0"/>
          <w:sz w:val="8"/>
          <w:szCs w:val="8"/>
          <w:shd w:val="clear" w:color="auto" w:fill="auto"/>
          <w:lang w:val="en-US" w:eastAsia="en-US" w:bidi="en-US"/>
        </w:rPr>
        <w:t xml:space="preserve">50 B.C., </w:t>
      </w: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N</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radi Samhit</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and others.</w:t>
      </w:r>
    </w:p>
    <w:p>
      <w:pPr>
        <w:pStyle w:val="Style2"/>
        <w:keepNext w:val="0"/>
        <w:keepLines w:val="0"/>
        <w:widowControl w:val="0"/>
        <w:shd w:val="clear" w:color="auto" w:fill="auto"/>
        <w:tabs>
          <w:tab w:pos="3989" w:val="left"/>
        </w:tabs>
        <w:bidi w:val="0"/>
        <w:ind w:left="0" w:firstLine="360"/>
        <w:jc w:val="left"/>
        <w:rPr>
          <w:sz w:val="8"/>
          <w:szCs w:val="8"/>
        </w:rPr>
      </w:pPr>
      <w:r>
        <w:rPr>
          <w:spacing w:val="0"/>
          <w:w w:val="100"/>
          <w:position w:val="0"/>
          <w:sz w:val="15"/>
          <w:szCs w:val="15"/>
          <w:shd w:val="clear" w:color="auto" w:fill="auto"/>
          <w:lang w:val="en-US" w:eastAsia="en-US" w:bidi="en-US"/>
        </w:rPr>
        <w:t xml:space="preserve">The new era, which the same scholar dates from c. 250 </w:t>
      </w:r>
      <w:r>
        <w:rPr>
          <w:b/>
          <w:bCs/>
          <w:spacing w:val="0"/>
          <w:w w:val="100"/>
          <w:position w:val="0"/>
          <w:sz w:val="8"/>
          <w:szCs w:val="8"/>
          <w:shd w:val="clear" w:color="auto" w:fill="auto"/>
          <w:lang w:val="en-US" w:eastAsia="en-US" w:bidi="en-US"/>
        </w:rPr>
        <w:t xml:space="preserve">A.D., </w:t>
      </w:r>
      <w:r>
        <w:rPr>
          <w:spacing w:val="0"/>
          <w:w w:val="100"/>
          <w:position w:val="0"/>
          <w:sz w:val="15"/>
          <w:szCs w:val="15"/>
          <w:shd w:val="clear" w:color="auto" w:fill="auto"/>
          <w:lang w:val="en-US" w:eastAsia="en-US" w:bidi="en-US"/>
        </w:rPr>
        <w:t xml:space="preserve">is marked by the appearance of the five original Siddliantas (partly extant in revised redactions and in quotations), the very names of two of which suggest Western influence, viz., the </w:t>
      </w:r>
      <w:r>
        <w:rPr>
          <w:i/>
          <w:iCs/>
          <w:spacing w:val="0"/>
          <w:w w:val="100"/>
          <w:position w:val="0"/>
          <w:sz w:val="15"/>
          <w:szCs w:val="15"/>
          <w:shd w:val="clear" w:color="auto" w:fill="auto"/>
          <w:lang w:val="en-US" w:eastAsia="en-US" w:bidi="en-US"/>
        </w:rPr>
        <w:t>Pait</w:t>
      </w:r>
      <w:r>
        <w:rPr>
          <w:i/>
          <w:iCs/>
          <w:spacing w:val="0"/>
          <w:w w:val="100"/>
          <w:position w:val="0"/>
          <w:sz w:val="15"/>
          <w:szCs w:val="15"/>
          <w:shd w:val="clear" w:color="auto" w:fill="auto"/>
          <w:lang w:val="en-US" w:eastAsia="en-US" w:bidi="en-US"/>
        </w:rPr>
        <w:t>â</w:t>
      </w:r>
      <w:r>
        <w:rPr>
          <w:i/>
          <w:iCs/>
          <w:spacing w:val="0"/>
          <w:w w:val="100"/>
          <w:position w:val="0"/>
          <w:sz w:val="15"/>
          <w:szCs w:val="15"/>
          <w:shd w:val="clear" w:color="auto" w:fill="auto"/>
          <w:lang w:val="en-US" w:eastAsia="en-US" w:bidi="en-US"/>
        </w:rPr>
        <w:t>maha-, S</w:t>
      </w:r>
      <w:r>
        <w:rPr>
          <w:i/>
          <w:iCs/>
          <w:spacing w:val="0"/>
          <w:w w:val="100"/>
          <w:position w:val="0"/>
          <w:sz w:val="15"/>
          <w:szCs w:val="15"/>
          <w:shd w:val="clear" w:color="auto" w:fill="auto"/>
          <w:lang w:val="en-US" w:eastAsia="en-US" w:bidi="en-US"/>
        </w:rPr>
        <w:t>û</w:t>
      </w:r>
      <w:r>
        <w:rPr>
          <w:i/>
          <w:iCs/>
          <w:spacing w:val="0"/>
          <w:w w:val="100"/>
          <w:position w:val="0"/>
          <w:sz w:val="15"/>
          <w:szCs w:val="15"/>
          <w:shd w:val="clear" w:color="auto" w:fill="auto"/>
          <w:lang w:val="en-US" w:eastAsia="en-US" w:bidi="en-US"/>
        </w:rPr>
        <w:t>rya-, @@</w:t>
      </w:r>
      <w:r>
        <w:rPr>
          <w:i/>
          <w:iCs/>
          <w:spacing w:val="0"/>
          <w:w w:val="100"/>
          <w:position w:val="0"/>
          <w:sz w:val="15"/>
          <w:szCs w:val="15"/>
          <w:shd w:val="clear" w:color="auto" w:fill="auto"/>
          <w:vertAlign w:val="superscript"/>
          <w:lang w:val="en-US" w:eastAsia="en-US" w:bidi="en-US"/>
        </w:rPr>
        <w:t>11</w:t>
      </w:r>
      <w:r>
        <w:rPr>
          <w:i/>
          <w:iCs/>
          <w:spacing w:val="0"/>
          <w:w w:val="100"/>
          <w:position w:val="0"/>
          <w:sz w:val="15"/>
          <w:szCs w:val="15"/>
          <w:shd w:val="clear" w:color="auto" w:fill="auto"/>
          <w:lang w:val="en-US" w:eastAsia="en-US" w:bidi="en-US"/>
        </w:rPr>
        <w:t xml:space="preserve"> Vasishtha-, Romaka- (i.e.,</w:t>
      </w:r>
      <w:r>
        <w:rPr>
          <w:spacing w:val="0"/>
          <w:w w:val="100"/>
          <w:position w:val="0"/>
          <w:sz w:val="15"/>
          <w:szCs w:val="15"/>
          <w:shd w:val="clear" w:color="auto" w:fill="auto"/>
          <w:lang w:val="en-US" w:eastAsia="en-US" w:bidi="en-US"/>
        </w:rPr>
        <w:t xml:space="preserve"> Roman), and </w:t>
      </w:r>
      <w:r>
        <w:rPr>
          <w:i/>
          <w:iCs/>
          <w:spacing w:val="0"/>
          <w:w w:val="100"/>
          <w:position w:val="0"/>
          <w:sz w:val="15"/>
          <w:szCs w:val="15"/>
          <w:shd w:val="clear" w:color="auto" w:fill="auto"/>
          <w:lang w:val="en-US" w:eastAsia="en-US" w:bidi="en-US"/>
        </w:rPr>
        <w:t>Pauli</w:t>
      </w:r>
      <w:r>
        <w:rPr>
          <w:i/>
          <w:iCs/>
          <w:spacing w:val="0"/>
          <w:w w:val="100"/>
          <w:position w:val="0"/>
          <w:sz w:val="15"/>
          <w:szCs w:val="15"/>
          <w:shd w:val="clear" w:color="auto" w:fill="auto"/>
          <w:lang w:val="en-US" w:eastAsia="en-US" w:bidi="en-US"/>
        </w:rPr>
        <w:t>ś</w:t>
      </w:r>
      <w:r>
        <w:rPr>
          <w:i/>
          <w:iCs/>
          <w:spacing w:val="0"/>
          <w:w w:val="100"/>
          <w:position w:val="0"/>
          <w:sz w:val="15"/>
          <w:szCs w:val="15"/>
          <w:shd w:val="clear" w:color="auto" w:fill="auto"/>
          <w:lang w:val="en-US" w:eastAsia="en-US" w:bidi="en-US"/>
        </w:rPr>
        <w:t>a-sid- dhdntas.</w:t>
      </w:r>
      <w:r>
        <w:rPr>
          <w:spacing w:val="0"/>
          <w:w w:val="100"/>
          <w:position w:val="0"/>
          <w:sz w:val="15"/>
          <w:szCs w:val="15"/>
          <w:shd w:val="clear" w:color="auto" w:fill="auto"/>
          <w:lang w:val="en-US" w:eastAsia="en-US" w:bidi="en-US"/>
        </w:rPr>
        <w:t xml:space="preserve"> Based on these are the works of the most distinguished Indian astronomers, viz., Aryabhata, @@</w:t>
      </w:r>
      <w:r>
        <w:rPr>
          <w:spacing w:val="0"/>
          <w:w w:val="100"/>
          <w:position w:val="0"/>
          <w:sz w:val="15"/>
          <w:szCs w:val="15"/>
          <w:shd w:val="clear" w:color="auto" w:fill="auto"/>
          <w:vertAlign w:val="superscript"/>
          <w:lang w:val="en-US" w:eastAsia="en-US" w:bidi="en-US"/>
        </w:rPr>
        <w:t>12</w:t>
      </w:r>
      <w:r>
        <w:rPr>
          <w:spacing w:val="0"/>
          <w:w w:val="100"/>
          <w:position w:val="0"/>
          <w:sz w:val="15"/>
          <w:szCs w:val="15"/>
          <w:shd w:val="clear" w:color="auto" w:fill="auto"/>
          <w:lang w:val="en-US" w:eastAsia="en-US" w:bidi="en-US"/>
        </w:rPr>
        <w:t xml:space="preserve"> probably born in 476 ; Var</w:t>
      </w:r>
      <w:r>
        <w:rPr>
          <w:spacing w:val="0"/>
          <w:w w:val="100"/>
          <w:position w:val="0"/>
          <w:sz w:val="15"/>
          <w:szCs w:val="15"/>
          <w:shd w:val="clear" w:color="auto" w:fill="auto"/>
          <w:lang w:val="en-US" w:eastAsia="en-US" w:bidi="en-US"/>
        </w:rPr>
        <w:t>â</w:t>
      </w:r>
      <w:r>
        <w:rPr>
          <w:spacing w:val="0"/>
          <w:w w:val="100"/>
          <w:position w:val="0"/>
          <w:sz w:val="15"/>
          <w:szCs w:val="15"/>
          <w:shd w:val="clear" w:color="auto" w:fill="auto"/>
          <w:lang w:val="en-US" w:eastAsia="en-US" w:bidi="en-US"/>
        </w:rPr>
        <w:t>ha-mihira, @@</w:t>
      </w:r>
      <w:r>
        <w:rPr>
          <w:spacing w:val="0"/>
          <w:w w:val="100"/>
          <w:position w:val="0"/>
          <w:sz w:val="15"/>
          <w:szCs w:val="15"/>
          <w:shd w:val="clear" w:color="auto" w:fill="auto"/>
          <w:vertAlign w:val="superscript"/>
          <w:lang w:val="en-US" w:eastAsia="en-US" w:bidi="en-US"/>
        </w:rPr>
        <w:t>13</w:t>
      </w:r>
      <w:r>
        <w:rPr>
          <w:spacing w:val="0"/>
          <w:w w:val="100"/>
          <w:position w:val="0"/>
          <w:sz w:val="15"/>
          <w:szCs w:val="15"/>
          <w:shd w:val="clear" w:color="auto" w:fill="auto"/>
          <w:lang w:val="en-US" w:eastAsia="en-US" w:bidi="en-US"/>
        </w:rPr>
        <w:t xml:space="preserve"> probably 505-507; Brahma-gupta, who completed his </w:t>
      </w:r>
      <w:r>
        <w:rPr>
          <w:i/>
          <w:iCs/>
          <w:spacing w:val="0"/>
          <w:w w:val="100"/>
          <w:position w:val="0"/>
          <w:sz w:val="15"/>
          <w:szCs w:val="15"/>
          <w:shd w:val="clear" w:color="auto" w:fill="auto"/>
          <w:lang w:val="en-US" w:eastAsia="en-US" w:bidi="en-US"/>
        </w:rPr>
        <w:t>Brahma-siddh</w:t>
      </w:r>
      <w:r>
        <w:rPr>
          <w:i/>
          <w:iCs/>
          <w:spacing w:val="0"/>
          <w:w w:val="100"/>
          <w:position w:val="0"/>
          <w:sz w:val="15"/>
          <w:szCs w:val="15"/>
          <w:shd w:val="clear" w:color="auto" w:fill="auto"/>
          <w:lang w:val="en-US" w:eastAsia="en-US" w:bidi="en-US"/>
        </w:rPr>
        <w:t>â</w:t>
      </w:r>
      <w:r>
        <w:rPr>
          <w:i/>
          <w:iCs/>
          <w:spacing w:val="0"/>
          <w:w w:val="100"/>
          <w:position w:val="0"/>
          <w:sz w:val="15"/>
          <w:szCs w:val="15"/>
          <w:shd w:val="clear" w:color="auto" w:fill="auto"/>
          <w:lang w:val="en-US" w:eastAsia="en-US" w:bidi="en-US"/>
        </w:rPr>
        <w:t>nta</w:t>
      </w:r>
      <w:r>
        <w:rPr>
          <w:spacing w:val="0"/>
          <w:w w:val="100"/>
          <w:position w:val="0"/>
          <w:sz w:val="15"/>
          <w:szCs w:val="15"/>
          <w:shd w:val="clear" w:color="auto" w:fill="auto"/>
          <w:lang w:val="en-US" w:eastAsia="en-US" w:bidi="en-US"/>
        </w:rPr>
        <w:t xml:space="preserve"> in 628; Bhatta Utpala (10th century), distinguished especially as commentator of Varaha-mihira ; and Bhaskara Acliarya, who finished his great course of astronomy, the </w:t>
      </w:r>
      <w:r>
        <w:rPr>
          <w:i/>
          <w:iCs/>
          <w:spacing w:val="0"/>
          <w:w w:val="100"/>
          <w:position w:val="0"/>
          <w:sz w:val="15"/>
          <w:szCs w:val="15"/>
          <w:shd w:val="clear" w:color="auto" w:fill="auto"/>
          <w:lang w:val="en-US" w:eastAsia="en-US" w:bidi="en-US"/>
        </w:rPr>
        <w:t>Siddh</w:t>
      </w:r>
      <w:r>
        <w:rPr>
          <w:i/>
          <w:iCs/>
          <w:spacing w:val="0"/>
          <w:w w:val="100"/>
          <w:position w:val="0"/>
          <w:sz w:val="15"/>
          <w:szCs w:val="15"/>
          <w:shd w:val="clear" w:color="auto" w:fill="auto"/>
          <w:lang w:val="en-US" w:eastAsia="en-US" w:bidi="en-US"/>
        </w:rPr>
        <w:t>â</w:t>
      </w:r>
      <w:r>
        <w:rPr>
          <w:i/>
          <w:iCs/>
          <w:spacing w:val="0"/>
          <w:w w:val="100"/>
          <w:position w:val="0"/>
          <w:sz w:val="15"/>
          <w:szCs w:val="15"/>
          <w:shd w:val="clear" w:color="auto" w:fill="auto"/>
          <w:lang w:val="en-US" w:eastAsia="en-US" w:bidi="en-US"/>
        </w:rPr>
        <w:t>nta-siromani,</w:t>
      </w:r>
      <w:r>
        <w:rPr>
          <w:spacing w:val="0"/>
          <w:w w:val="100"/>
          <w:position w:val="0"/>
          <w:sz w:val="15"/>
          <w:szCs w:val="15"/>
          <w:shd w:val="clear" w:color="auto" w:fill="auto"/>
          <w:lang w:val="en-US" w:eastAsia="en-US" w:bidi="en-US"/>
        </w:rPr>
        <w:t xml:space="preserve"> in 1150. In the works of several of these writers, from Aryabhata onwards, special attention is paid to mathematical (especially arithmetical and algebraic) computa</w:t>
        <w:softHyphen/>
        <w:t xml:space="preserve">tions ; and the respective chapters of Bhaskara’s compendium, viz., the </w:t>
      </w:r>
      <w:r>
        <w:rPr>
          <w:i/>
          <w:iCs/>
          <w:spacing w:val="0"/>
          <w:w w:val="100"/>
          <w:position w:val="0"/>
          <w:sz w:val="15"/>
          <w:szCs w:val="15"/>
          <w:shd w:val="clear" w:color="auto" w:fill="auto"/>
          <w:lang w:val="en-US" w:eastAsia="en-US" w:bidi="en-US"/>
        </w:rPr>
        <w:t>L</w:t>
      </w:r>
      <w:r>
        <w:rPr>
          <w:i/>
          <w:iCs/>
          <w:spacing w:val="0"/>
          <w:w w:val="100"/>
          <w:position w:val="0"/>
          <w:sz w:val="15"/>
          <w:szCs w:val="15"/>
          <w:shd w:val="clear" w:color="auto" w:fill="auto"/>
          <w:lang w:val="en-US" w:eastAsia="en-US" w:bidi="en-US"/>
        </w:rPr>
        <w:t>îlâ</w:t>
      </w:r>
      <w:r>
        <w:rPr>
          <w:i/>
          <w:iCs/>
          <w:spacing w:val="0"/>
          <w:w w:val="100"/>
          <w:position w:val="0"/>
          <w:sz w:val="15"/>
          <w:szCs w:val="15"/>
          <w:shd w:val="clear" w:color="auto" w:fill="auto"/>
          <w:lang w:val="en-US" w:eastAsia="en-US" w:bidi="en-US"/>
        </w:rPr>
        <w:t>vat</w:t>
      </w:r>
      <w:r>
        <w:rPr>
          <w:i/>
          <w:iCs/>
          <w:spacing w:val="0"/>
          <w:w w:val="100"/>
          <w:position w:val="0"/>
          <w:sz w:val="15"/>
          <w:szCs w:val="15"/>
          <w:shd w:val="clear" w:color="auto" w:fill="auto"/>
          <w:lang w:val="en-US" w:eastAsia="en-US" w:bidi="en-US"/>
        </w:rPr>
        <w:t>î</w:t>
      </w:r>
      <w:r>
        <w:rPr>
          <w:spacing w:val="0"/>
          <w:w w:val="100"/>
          <w:position w:val="0"/>
          <w:sz w:val="15"/>
          <w:szCs w:val="15"/>
          <w:shd w:val="clear" w:color="auto" w:fill="auto"/>
          <w:lang w:val="en-US" w:eastAsia="en-US" w:bidi="en-US"/>
        </w:rPr>
        <w:t xml:space="preserve"> and </w:t>
      </w:r>
      <w:r>
        <w:rPr>
          <w:i/>
          <w:iCs/>
          <w:spacing w:val="0"/>
          <w:w w:val="100"/>
          <w:position w:val="0"/>
          <w:sz w:val="15"/>
          <w:szCs w:val="15"/>
          <w:shd w:val="clear" w:color="auto" w:fill="auto"/>
          <w:lang w:val="en-US" w:eastAsia="en-US" w:bidi="en-US"/>
        </w:rPr>
        <w:t>Vija-ganita, @@14</w:t>
      </w:r>
      <w:r>
        <w:rPr>
          <w:spacing w:val="0"/>
          <w:w w:val="100"/>
          <w:position w:val="0"/>
          <w:sz w:val="15"/>
          <w:szCs w:val="15"/>
          <w:shd w:val="clear" w:color="auto" w:fill="auto"/>
          <w:lang w:val="en-US" w:eastAsia="en-US" w:bidi="en-US"/>
        </w:rPr>
        <w:t xml:space="preserve"> still form favourite textbooks of these subjects. The question whether Aryabhata was acquainted with the researches of the Greek algebraist Diophantus (c. 360 </w:t>
      </w:r>
      <w:r>
        <w:rPr>
          <w:smallCaps/>
          <w:spacing w:val="0"/>
          <w:w w:val="100"/>
          <w:position w:val="0"/>
          <w:sz w:val="15"/>
          <w:szCs w:val="15"/>
          <w:shd w:val="clear" w:color="auto" w:fill="auto"/>
          <w:lang w:val="en-US" w:eastAsia="en-US" w:bidi="en-US"/>
        </w:rPr>
        <w:t>a.d.)</w:t>
      </w:r>
      <w:r>
        <w:rPr>
          <w:spacing w:val="0"/>
          <w:w w:val="100"/>
          <w:position w:val="0"/>
          <w:sz w:val="15"/>
          <w:szCs w:val="15"/>
          <w:shd w:val="clear" w:color="auto" w:fill="auto"/>
          <w:lang w:val="en-US" w:eastAsia="en-US" w:bidi="en-US"/>
        </w:rPr>
        <w:t xml:space="preserve"> remains still unsettled ; but, even if this was the case, algebraic science seems to have been carried by him beyond the point attained by the Greeks.</w:t>
        <w:tab/>
      </w:r>
      <w:r>
        <w:rPr>
          <w:b/>
          <w:bCs/>
          <w:spacing w:val="0"/>
          <w:w w:val="100"/>
          <w:position w:val="0"/>
          <w:sz w:val="8"/>
          <w:szCs w:val="8"/>
          <w:shd w:val="clear" w:color="auto" w:fill="auto"/>
          <w:lang w:val="en-US" w:eastAsia="en-US" w:bidi="en-US"/>
        </w:rPr>
        <w:t>(J· E.)</w:t>
      </w:r>
    </w:p>
    <w:p>
      <w:pPr>
        <w:pStyle w:val="Style9"/>
        <w:keepNext w:val="0"/>
        <w:keepLines w:val="0"/>
        <w:widowControl w:val="0"/>
        <w:shd w:val="clear" w:color="auto" w:fill="auto"/>
        <w:tabs>
          <w:tab w:pos="112" w:val="left"/>
        </w:tabs>
        <w:bidi w:val="0"/>
        <w:spacing w:line="240" w:lineRule="auto"/>
        <w:ind w:left="0" w:firstLine="0"/>
        <w:jc w:val="left"/>
        <w:rPr>
          <w:sz w:val="14"/>
          <w:szCs w:val="14"/>
        </w:rPr>
      </w:pPr>
      <w:r>
        <w:rPr>
          <w:color w:val="746C54"/>
          <w:spacing w:val="0"/>
          <w:w w:val="100"/>
          <w:position w:val="0"/>
          <w:sz w:val="14"/>
          <w:szCs w:val="14"/>
          <w:shd w:val="clear" w:color="auto" w:fill="auto"/>
          <w:vertAlign w:val="superscript"/>
          <w:lang w:val="en-US" w:eastAsia="en-US" w:bidi="en-US"/>
        </w:rPr>
        <w:t>@@@1</w:t>
      </w:r>
      <w:r>
        <w:rPr>
          <w:color w:val="746C54"/>
          <w:spacing w:val="0"/>
          <w:w w:val="100"/>
          <w:position w:val="0"/>
          <w:sz w:val="14"/>
          <w:szCs w:val="14"/>
          <w:shd w:val="clear" w:color="auto" w:fill="auto"/>
          <w:lang w:val="en-US" w:eastAsia="en-US" w:bidi="en-US"/>
        </w:rPr>
        <w:tab/>
        <w:t xml:space="preserve">Ed. with commentary, by Premachandra </w:t>
      </w:r>
      <w:r>
        <w:rPr>
          <w:color w:val="746C54"/>
          <w:spacing w:val="0"/>
          <w:w w:val="100"/>
          <w:position w:val="0"/>
          <w:sz w:val="14"/>
          <w:szCs w:val="14"/>
          <w:shd w:val="clear" w:color="auto" w:fill="auto"/>
          <w:lang w:val="de-DE" w:eastAsia="de-DE" w:bidi="de-DE"/>
        </w:rPr>
        <w:t xml:space="preserve">Tarkabäglsa, </w:t>
      </w:r>
      <w:r>
        <w:rPr>
          <w:i/>
          <w:iCs/>
          <w:color w:val="746C54"/>
          <w:spacing w:val="0"/>
          <w:w w:val="100"/>
          <w:position w:val="0"/>
          <w:sz w:val="14"/>
          <w:szCs w:val="14"/>
          <w:shd w:val="clear" w:color="auto" w:fill="auto"/>
          <w:lang w:val="en-US" w:eastAsia="en-US" w:bidi="en-US"/>
        </w:rPr>
        <w:t>Bibl. Ind.</w:t>
      </w:r>
    </w:p>
    <w:p>
      <w:pPr>
        <w:pStyle w:val="Style9"/>
        <w:keepNext w:val="0"/>
        <w:keepLines w:val="0"/>
        <w:widowControl w:val="0"/>
        <w:shd w:val="clear" w:color="auto" w:fill="auto"/>
        <w:tabs>
          <w:tab w:pos="119" w:val="left"/>
        </w:tabs>
        <w:bidi w:val="0"/>
        <w:spacing w:line="180" w:lineRule="auto"/>
        <w:ind w:left="0" w:firstLine="0"/>
        <w:jc w:val="left"/>
        <w:rPr>
          <w:sz w:val="14"/>
          <w:szCs w:val="14"/>
        </w:rPr>
      </w:pPr>
      <w:r>
        <w:rPr>
          <w:color w:val="746C54"/>
          <w:spacing w:val="0"/>
          <w:w w:val="100"/>
          <w:position w:val="0"/>
          <w:sz w:val="14"/>
          <w:szCs w:val="14"/>
          <w:shd w:val="clear" w:color="auto" w:fill="auto"/>
          <w:vertAlign w:val="superscript"/>
          <w:lang w:val="en-US" w:eastAsia="en-US" w:bidi="en-US"/>
        </w:rPr>
        <w:t>@@@2</w:t>
      </w:r>
      <w:r>
        <w:rPr>
          <w:color w:val="746C54"/>
          <w:spacing w:val="0"/>
          <w:w w:val="100"/>
          <w:position w:val="0"/>
          <w:sz w:val="14"/>
          <w:szCs w:val="14"/>
          <w:shd w:val="clear" w:color="auto" w:fill="auto"/>
          <w:lang w:val="en-US" w:eastAsia="en-US" w:bidi="en-US"/>
        </w:rPr>
        <w:tab/>
        <w:t xml:space="preserve">Edited by Fitzedw. Hall, </w:t>
      </w:r>
      <w:r>
        <w:rPr>
          <w:i/>
          <w:iCs/>
          <w:color w:val="746C54"/>
          <w:spacing w:val="0"/>
          <w:w w:val="100"/>
          <w:position w:val="0"/>
          <w:sz w:val="14"/>
          <w:szCs w:val="14"/>
          <w:shd w:val="clear" w:color="auto" w:fill="auto"/>
          <w:lang w:val="en-US" w:eastAsia="en-US" w:bidi="en-US"/>
        </w:rPr>
        <w:t>Bibl. Ind.,</w:t>
      </w:r>
      <w:r>
        <w:rPr>
          <w:color w:val="746C54"/>
          <w:spacing w:val="0"/>
          <w:w w:val="100"/>
          <w:position w:val="0"/>
          <w:sz w:val="14"/>
          <w:szCs w:val="14"/>
          <w:shd w:val="clear" w:color="auto" w:fill="auto"/>
          <w:lang w:val="en-US" w:eastAsia="en-US" w:bidi="en-US"/>
        </w:rPr>
        <w:t xml:space="preserve"> 1865.</w:t>
      </w:r>
    </w:p>
    <w:p>
      <w:pPr>
        <w:pStyle w:val="Style9"/>
        <w:keepNext w:val="0"/>
        <w:keepLines w:val="0"/>
        <w:widowControl w:val="0"/>
        <w:shd w:val="clear" w:color="auto" w:fill="auto"/>
        <w:tabs>
          <w:tab w:pos="115" w:val="left"/>
        </w:tabs>
        <w:bidi w:val="0"/>
        <w:spacing w:line="182" w:lineRule="auto"/>
        <w:ind w:left="0" w:firstLine="0"/>
        <w:jc w:val="left"/>
        <w:rPr>
          <w:sz w:val="14"/>
          <w:szCs w:val="14"/>
        </w:rPr>
      </w:pPr>
      <w:r>
        <w:rPr>
          <w:color w:val="746C54"/>
          <w:spacing w:val="0"/>
          <w:w w:val="100"/>
          <w:position w:val="0"/>
          <w:sz w:val="14"/>
          <w:szCs w:val="14"/>
          <w:shd w:val="clear" w:color="auto" w:fill="auto"/>
          <w:vertAlign w:val="superscript"/>
          <w:lang w:val="en-US" w:eastAsia="en-US" w:bidi="en-US"/>
        </w:rPr>
        <w:t>@@@3</w:t>
      </w:r>
      <w:r>
        <w:rPr>
          <w:color w:val="746C54"/>
          <w:spacing w:val="0"/>
          <w:w w:val="100"/>
          <w:position w:val="0"/>
          <w:sz w:val="14"/>
          <w:szCs w:val="14"/>
          <w:shd w:val="clear" w:color="auto" w:fill="auto"/>
          <w:lang w:val="en-US" w:eastAsia="en-US" w:bidi="en-US"/>
        </w:rPr>
        <w:tab/>
        <w:t xml:space="preserve">R. Piachel, </w:t>
      </w:r>
      <w:r>
        <w:rPr>
          <w:i/>
          <w:iCs/>
          <w:color w:val="746C54"/>
          <w:spacing w:val="0"/>
          <w:w w:val="100"/>
          <w:position w:val="0"/>
          <w:sz w:val="14"/>
          <w:szCs w:val="14"/>
          <w:shd w:val="clear" w:color="auto" w:fill="auto"/>
          <w:lang w:val="en-US" w:eastAsia="en-US" w:bidi="en-US"/>
        </w:rPr>
        <w:t>Cott. Gel. A.,</w:t>
      </w:r>
      <w:r>
        <w:rPr>
          <w:color w:val="746C54"/>
          <w:spacing w:val="0"/>
          <w:w w:val="100"/>
          <w:position w:val="0"/>
          <w:sz w:val="14"/>
          <w:szCs w:val="14"/>
          <w:shd w:val="clear" w:color="auto" w:fill="auto"/>
          <w:lang w:val="en-US" w:eastAsia="en-US" w:bidi="en-US"/>
        </w:rPr>
        <w:t xml:space="preserve"> 1883; G. Buhler, </w:t>
      </w:r>
      <w:r>
        <w:rPr>
          <w:i/>
          <w:iCs/>
          <w:color w:val="746C54"/>
          <w:spacing w:val="0"/>
          <w:w w:val="100"/>
          <w:position w:val="0"/>
          <w:sz w:val="14"/>
          <w:szCs w:val="14"/>
          <w:shd w:val="clear" w:color="auto" w:fill="auto"/>
          <w:lang w:val="en-US" w:eastAsia="en-US" w:bidi="en-US"/>
        </w:rPr>
        <w:t>Ind. Ant.,</w:t>
      </w:r>
      <w:r>
        <w:rPr>
          <w:color w:val="746C54"/>
          <w:spacing w:val="0"/>
          <w:w w:val="100"/>
          <w:position w:val="0"/>
          <w:sz w:val="14"/>
          <w:szCs w:val="14"/>
          <w:shd w:val="clear" w:color="auto" w:fill="auto"/>
          <w:lang w:val="en-US" w:eastAsia="en-US" w:bidi="en-US"/>
        </w:rPr>
        <w:t xml:space="preserve"> 1834, p. 29.</w:t>
      </w:r>
    </w:p>
    <w:p>
      <w:pPr>
        <w:pStyle w:val="Style9"/>
        <w:keepNext w:val="0"/>
        <w:keepLines w:val="0"/>
        <w:widowControl w:val="0"/>
        <w:shd w:val="clear" w:color="auto" w:fill="auto"/>
        <w:tabs>
          <w:tab w:pos="108" w:val="left"/>
        </w:tabs>
        <w:bidi w:val="0"/>
        <w:spacing w:line="180" w:lineRule="auto"/>
        <w:ind w:left="0" w:firstLine="0"/>
        <w:jc w:val="left"/>
        <w:rPr>
          <w:sz w:val="14"/>
          <w:szCs w:val="14"/>
        </w:rPr>
      </w:pPr>
      <w:r>
        <w:rPr>
          <w:color w:val="746C54"/>
          <w:spacing w:val="0"/>
          <w:w w:val="100"/>
          <w:position w:val="0"/>
          <w:sz w:val="14"/>
          <w:szCs w:val="14"/>
          <w:shd w:val="clear" w:color="auto" w:fill="auto"/>
          <w:vertAlign w:val="superscript"/>
          <w:lang w:val="en-US" w:eastAsia="en-US" w:bidi="en-US"/>
        </w:rPr>
        <w:t>@@@4</w:t>
      </w:r>
      <w:r>
        <w:rPr>
          <w:color w:val="746C54"/>
          <w:spacing w:val="0"/>
          <w:w w:val="100"/>
          <w:position w:val="0"/>
          <w:sz w:val="14"/>
          <w:szCs w:val="14"/>
          <w:shd w:val="clear" w:color="auto" w:fill="auto"/>
          <w:lang w:val="en-US" w:eastAsia="en-US" w:bidi="en-US"/>
        </w:rPr>
        <w:tab/>
        <w:t>Ed. by Mahesft Chandra Ny</w:t>
      </w:r>
      <w:r>
        <w:rPr>
          <w:color w:val="746C54"/>
          <w:spacing w:val="0"/>
          <w:w w:val="100"/>
          <w:position w:val="0"/>
          <w:sz w:val="14"/>
          <w:szCs w:val="14"/>
          <w:shd w:val="clear" w:color="auto" w:fill="auto"/>
          <w:lang w:val="en-US" w:eastAsia="en-US" w:bidi="en-US"/>
        </w:rPr>
        <w:t>â</w:t>
      </w:r>
      <w:r>
        <w:rPr>
          <w:color w:val="746C54"/>
          <w:spacing w:val="0"/>
          <w:w w:val="100"/>
          <w:position w:val="0"/>
          <w:sz w:val="14"/>
          <w:szCs w:val="14"/>
          <w:shd w:val="clear" w:color="auto" w:fill="auto"/>
          <w:lang w:val="en-US" w:eastAsia="en-US" w:bidi="en-US"/>
        </w:rPr>
        <w:t>yaratna, 1866.</w:t>
      </w:r>
    </w:p>
    <w:p>
      <w:pPr>
        <w:pStyle w:val="Style9"/>
        <w:keepNext w:val="0"/>
        <w:keepLines w:val="0"/>
        <w:widowControl w:val="0"/>
        <w:shd w:val="clear" w:color="auto" w:fill="auto"/>
        <w:bidi w:val="0"/>
        <w:spacing w:line="180" w:lineRule="auto"/>
        <w:ind w:left="0" w:firstLine="0"/>
        <w:jc w:val="left"/>
        <w:rPr>
          <w:sz w:val="14"/>
          <w:szCs w:val="14"/>
        </w:rPr>
      </w:pPr>
      <w:r>
        <w:rPr>
          <w:color w:val="746C54"/>
          <w:spacing w:val="0"/>
          <w:w w:val="100"/>
          <w:position w:val="0"/>
          <w:sz w:val="14"/>
          <w:szCs w:val="14"/>
          <w:shd w:val="clear" w:color="auto" w:fill="auto"/>
          <w:vertAlign w:val="superscript"/>
          <w:lang w:val="en-US" w:eastAsia="en-US" w:bidi="en-US"/>
        </w:rPr>
        <w:t>@@@5</w:t>
      </w:r>
      <w:r>
        <w:rPr>
          <w:color w:val="746C54"/>
          <w:spacing w:val="0"/>
          <w:w w:val="100"/>
          <w:position w:val="0"/>
          <w:sz w:val="14"/>
          <w:szCs w:val="14"/>
          <w:shd w:val="clear" w:color="auto" w:fill="auto"/>
          <w:lang w:val="en-US" w:eastAsia="en-US" w:bidi="en-US"/>
        </w:rPr>
        <w:t xml:space="preserve"> Text and translation in </w:t>
      </w:r>
      <w:r>
        <w:rPr>
          <w:i/>
          <w:iCs/>
          <w:color w:val="746C54"/>
          <w:spacing w:val="0"/>
          <w:w w:val="100"/>
          <w:position w:val="0"/>
          <w:sz w:val="14"/>
          <w:szCs w:val="14"/>
          <w:shd w:val="clear" w:color="auto" w:fill="auto"/>
          <w:lang w:val="en-US" w:eastAsia="en-US" w:bidi="en-US"/>
        </w:rPr>
        <w:t>Bibl. Ind.</w:t>
      </w:r>
    </w:p>
    <w:p>
      <w:pPr>
        <w:pStyle w:val="Style9"/>
        <w:keepNext w:val="0"/>
        <w:keepLines w:val="0"/>
        <w:widowControl w:val="0"/>
        <w:shd w:val="clear" w:color="auto" w:fill="auto"/>
        <w:bidi w:val="0"/>
        <w:spacing w:line="182" w:lineRule="auto"/>
        <w:ind w:left="0" w:firstLine="0"/>
        <w:jc w:val="left"/>
        <w:rPr>
          <w:sz w:val="14"/>
          <w:szCs w:val="14"/>
        </w:rPr>
      </w:pPr>
      <w:r>
        <w:rPr>
          <w:color w:val="746C54"/>
          <w:spacing w:val="0"/>
          <w:w w:val="100"/>
          <w:position w:val="0"/>
          <w:sz w:val="14"/>
          <w:szCs w:val="14"/>
          <w:shd w:val="clear" w:color="auto" w:fill="auto"/>
          <w:vertAlign w:val="superscript"/>
          <w:lang w:val="en-US" w:eastAsia="en-US" w:bidi="en-US"/>
        </w:rPr>
        <w:t>@@@6</w:t>
      </w:r>
      <w:r>
        <w:rPr>
          <w:color w:val="746C54"/>
          <w:spacing w:val="0"/>
          <w:w w:val="100"/>
          <w:position w:val="0"/>
          <w:sz w:val="14"/>
          <w:szCs w:val="14"/>
          <w:shd w:val="clear" w:color="auto" w:fill="auto"/>
          <w:lang w:val="en-US" w:eastAsia="en-US" w:bidi="en-US"/>
        </w:rPr>
        <w:t xml:space="preserve"> Ed. by Jibananda Vidyasagara, Calc., 1S77.</w:t>
      </w:r>
    </w:p>
    <w:p>
      <w:pPr>
        <w:pStyle w:val="Style9"/>
        <w:keepNext w:val="0"/>
        <w:keepLines w:val="0"/>
        <w:widowControl w:val="0"/>
        <w:shd w:val="clear" w:color="auto" w:fill="auto"/>
        <w:tabs>
          <w:tab w:pos="101" w:val="left"/>
        </w:tabs>
        <w:bidi w:val="0"/>
        <w:spacing w:line="182" w:lineRule="auto"/>
        <w:ind w:left="0" w:firstLine="0"/>
        <w:jc w:val="left"/>
        <w:rPr>
          <w:sz w:val="14"/>
          <w:szCs w:val="14"/>
        </w:rPr>
      </w:pPr>
      <w:r>
        <w:rPr>
          <w:color w:val="746C54"/>
          <w:spacing w:val="0"/>
          <w:w w:val="100"/>
          <w:position w:val="0"/>
          <w:sz w:val="14"/>
          <w:szCs w:val="14"/>
          <w:shd w:val="clear" w:color="auto" w:fill="auto"/>
          <w:vertAlign w:val="superscript"/>
          <w:lang w:val="en-US" w:eastAsia="en-US" w:bidi="en-US"/>
        </w:rPr>
        <w:t>@@@7</w:t>
      </w:r>
      <w:r>
        <w:rPr>
          <w:color w:val="746C54"/>
          <w:spacing w:val="0"/>
          <w:w w:val="100"/>
          <w:position w:val="0"/>
          <w:sz w:val="14"/>
          <w:szCs w:val="14"/>
          <w:shd w:val="clear" w:color="auto" w:fill="auto"/>
          <w:lang w:val="en-US" w:eastAsia="en-US" w:bidi="en-US"/>
        </w:rPr>
        <w:tab/>
        <w:t xml:space="preserve">Ed. by </w:t>
      </w:r>
      <w:r>
        <w:rPr>
          <w:color w:val="746C54"/>
          <w:spacing w:val="0"/>
          <w:w w:val="100"/>
          <w:position w:val="0"/>
          <w:sz w:val="14"/>
          <w:szCs w:val="14"/>
          <w:shd w:val="clear" w:color="auto" w:fill="auto"/>
          <w:lang w:val="de-DE" w:eastAsia="de-DE" w:bidi="de-DE"/>
        </w:rPr>
        <w:t xml:space="preserve">Madhusüdana </w:t>
      </w:r>
      <w:r>
        <w:rPr>
          <w:color w:val="746C54"/>
          <w:spacing w:val="0"/>
          <w:w w:val="100"/>
          <w:position w:val="0"/>
          <w:sz w:val="14"/>
          <w:szCs w:val="14"/>
          <w:shd w:val="clear" w:color="auto" w:fill="auto"/>
          <w:lang w:val="en-US" w:eastAsia="en-US" w:bidi="en-US"/>
        </w:rPr>
        <w:t>Gupta, 1835-37, and by Jibananda Vidyasagara, 1873.</w:t>
      </w:r>
    </w:p>
    <w:p>
      <w:pPr>
        <w:pStyle w:val="Style9"/>
        <w:keepNext w:val="0"/>
        <w:keepLines w:val="0"/>
        <w:widowControl w:val="0"/>
        <w:shd w:val="clear" w:color="auto" w:fill="auto"/>
        <w:tabs>
          <w:tab w:pos="112" w:val="left"/>
        </w:tabs>
        <w:bidi w:val="0"/>
        <w:spacing w:line="180" w:lineRule="auto"/>
        <w:ind w:left="0" w:firstLine="0"/>
        <w:jc w:val="left"/>
        <w:rPr>
          <w:sz w:val="14"/>
          <w:szCs w:val="14"/>
        </w:rPr>
      </w:pPr>
      <w:r>
        <w:rPr>
          <w:color w:val="746C54"/>
          <w:spacing w:val="0"/>
          <w:w w:val="100"/>
          <w:position w:val="0"/>
          <w:sz w:val="14"/>
          <w:szCs w:val="14"/>
          <w:shd w:val="clear" w:color="auto" w:fill="auto"/>
          <w:vertAlign w:val="superscript"/>
          <w:lang w:val="en-US" w:eastAsia="en-US" w:bidi="en-US"/>
        </w:rPr>
        <w:t>@@@8</w:t>
      </w:r>
      <w:r>
        <w:rPr>
          <w:color w:val="746C54"/>
          <w:spacing w:val="0"/>
          <w:w w:val="100"/>
          <w:position w:val="0"/>
          <w:sz w:val="14"/>
          <w:szCs w:val="14"/>
          <w:shd w:val="clear" w:color="auto" w:fill="auto"/>
          <w:lang w:val="en-US" w:eastAsia="en-US" w:bidi="en-US"/>
        </w:rPr>
        <w:tab/>
      </w:r>
      <w:r>
        <w:rPr>
          <w:i/>
          <w:iCs/>
          <w:color w:val="746C54"/>
          <w:spacing w:val="0"/>
          <w:w w:val="100"/>
          <w:position w:val="0"/>
          <w:sz w:val="14"/>
          <w:szCs w:val="14"/>
          <w:shd w:val="clear" w:color="auto" w:fill="auto"/>
          <w:lang w:val="la-001" w:eastAsia="la-001" w:bidi="la-001"/>
        </w:rPr>
        <w:t xml:space="preserve">Z. D. </w:t>
      </w:r>
      <w:r>
        <w:rPr>
          <w:i/>
          <w:iCs/>
          <w:color w:val="746C54"/>
          <w:spacing w:val="0"/>
          <w:w w:val="100"/>
          <w:position w:val="0"/>
          <w:sz w:val="14"/>
          <w:szCs w:val="14"/>
          <w:shd w:val="clear" w:color="auto" w:fill="auto"/>
          <w:lang w:val="en-US" w:eastAsia="en-US" w:bidi="en-US"/>
        </w:rPr>
        <w:t>II. G.,</w:t>
      </w:r>
      <w:r>
        <w:rPr>
          <w:color w:val="746C54"/>
          <w:spacing w:val="0"/>
          <w:w w:val="100"/>
          <w:position w:val="0"/>
          <w:sz w:val="14"/>
          <w:szCs w:val="14"/>
          <w:shd w:val="clear" w:color="auto" w:fill="auto"/>
          <w:lang w:val="en-US" w:eastAsia="en-US" w:bidi="en-US"/>
        </w:rPr>
        <w:t xml:space="preserve"> 1876, p. 617 </w:t>
      </w:r>
      <w:r>
        <w:rPr>
          <w:i/>
          <w:iCs/>
          <w:color w:val="746C54"/>
          <w:spacing w:val="0"/>
          <w:w w:val="100"/>
          <w:position w:val="0"/>
          <w:sz w:val="14"/>
          <w:szCs w:val="14"/>
          <w:shd w:val="clear" w:color="auto" w:fill="auto"/>
          <w:lang w:val="en-US" w:eastAsia="en-US" w:bidi="en-US"/>
        </w:rPr>
        <w:t>sq.</w:t>
      </w:r>
      <w:r>
        <w:rPr>
          <w:color w:val="746C54"/>
          <w:spacing w:val="0"/>
          <w:w w:val="100"/>
          <w:position w:val="0"/>
          <w:sz w:val="14"/>
          <w:szCs w:val="14"/>
          <w:shd w:val="clear" w:color="auto" w:fill="auto"/>
          <w:lang w:val="en-US" w:eastAsia="en-US" w:bidi="en-US"/>
        </w:rPr>
        <w:t xml:space="preserve">; 1877, p. 647 </w:t>
      </w:r>
      <w:r>
        <w:rPr>
          <w:i/>
          <w:iCs/>
          <w:color w:val="746C54"/>
          <w:spacing w:val="0"/>
          <w:w w:val="100"/>
          <w:position w:val="0"/>
          <w:sz w:val="14"/>
          <w:szCs w:val="14"/>
          <w:shd w:val="clear" w:color="auto" w:fill="auto"/>
          <w:lang w:val="en-US" w:eastAsia="en-US" w:bidi="en-US"/>
        </w:rPr>
        <w:t>sq.</w:t>
      </w:r>
    </w:p>
    <w:p>
      <w:pPr>
        <w:pStyle w:val="Style2"/>
        <w:keepNext w:val="0"/>
        <w:keepLines w:val="0"/>
        <w:widowControl w:val="0"/>
        <w:shd w:val="clear" w:color="auto" w:fill="auto"/>
        <w:tabs>
          <w:tab w:pos="312" w:val="left"/>
        </w:tabs>
        <w:bidi w:val="0"/>
        <w:spacing w:line="199" w:lineRule="auto"/>
        <w:ind w:left="0" w:firstLine="360"/>
        <w:jc w:val="left"/>
        <w:rPr>
          <w:sz w:val="14"/>
          <w:szCs w:val="14"/>
        </w:rPr>
      </w:pPr>
      <w:r>
        <w:rPr>
          <w:spacing w:val="0"/>
          <w:w w:val="100"/>
          <w:position w:val="0"/>
          <w:sz w:val="14"/>
          <w:szCs w:val="14"/>
          <w:shd w:val="clear" w:color="auto" w:fill="auto"/>
          <w:vertAlign w:val="superscript"/>
          <w:lang w:val="en-US" w:eastAsia="en-US" w:bidi="en-US"/>
        </w:rPr>
        <w:t>@@@9</w:t>
      </w:r>
      <w:r>
        <w:rPr>
          <w:spacing w:val="0"/>
          <w:w w:val="100"/>
          <w:position w:val="0"/>
          <w:sz w:val="14"/>
          <w:szCs w:val="14"/>
          <w:shd w:val="clear" w:color="auto" w:fill="auto"/>
          <w:lang w:val="en-US" w:eastAsia="en-US" w:bidi="en-US"/>
        </w:rPr>
        <w:tab/>
        <w:t xml:space="preserve">See Prof. Aug. Muller's paper, </w:t>
      </w:r>
      <w:r>
        <w:rPr>
          <w:i/>
          <w:iCs/>
          <w:spacing w:val="0"/>
          <w:w w:val="100"/>
          <w:position w:val="0"/>
          <w:sz w:val="14"/>
          <w:szCs w:val="14"/>
          <w:shd w:val="clear" w:color="auto" w:fill="auto"/>
          <w:lang w:val="en-US" w:eastAsia="en-US" w:bidi="en-US"/>
        </w:rPr>
        <w:t>Z. D. M. G.,</w:t>
      </w:r>
      <w:r>
        <w:rPr>
          <w:spacing w:val="0"/>
          <w:w w:val="100"/>
          <w:position w:val="0"/>
          <w:sz w:val="14"/>
          <w:szCs w:val="14"/>
          <w:shd w:val="clear" w:color="auto" w:fill="auto"/>
          <w:lang w:val="en-US" w:eastAsia="en-US" w:bidi="en-US"/>
        </w:rPr>
        <w:t xml:space="preserve"> 1880, p. 465.</w:t>
      </w:r>
    </w:p>
    <w:p>
      <w:pPr>
        <w:pStyle w:val="Style2"/>
        <w:keepNext w:val="0"/>
        <w:keepLines w:val="0"/>
        <w:widowControl w:val="0"/>
        <w:shd w:val="clear" w:color="auto" w:fill="auto"/>
        <w:tabs>
          <w:tab w:pos="288" w:val="left"/>
        </w:tabs>
        <w:bidi w:val="0"/>
        <w:spacing w:line="199" w:lineRule="auto"/>
        <w:ind w:left="0" w:firstLine="360"/>
        <w:jc w:val="left"/>
        <w:rPr>
          <w:sz w:val="14"/>
          <w:szCs w:val="14"/>
        </w:rPr>
      </w:pPr>
      <w:r>
        <w:rPr>
          <w:spacing w:val="0"/>
          <w:w w:val="100"/>
          <w:position w:val="0"/>
          <w:sz w:val="14"/>
          <w:szCs w:val="14"/>
          <w:shd w:val="clear" w:color="auto" w:fill="auto"/>
          <w:vertAlign w:val="superscript"/>
          <w:lang w:val="en-US" w:eastAsia="en-US" w:bidi="en-US"/>
        </w:rPr>
        <w:t>@@@10</w:t>
      </w:r>
      <w:r>
        <w:rPr>
          <w:spacing w:val="0"/>
          <w:w w:val="100"/>
          <w:position w:val="0"/>
          <w:sz w:val="14"/>
          <w:szCs w:val="14"/>
          <w:shd w:val="clear" w:color="auto" w:fill="auto"/>
          <w:lang w:val="en-US" w:eastAsia="en-US" w:bidi="en-US"/>
        </w:rPr>
        <w:tab/>
        <w:t xml:space="preserve">See especially Prof, whitney’s essay on the Lunar Zodiac, in his </w:t>
      </w:r>
      <w:r>
        <w:rPr>
          <w:i/>
          <w:iCs/>
          <w:spacing w:val="0"/>
          <w:w w:val="100"/>
          <w:position w:val="0"/>
          <w:sz w:val="14"/>
          <w:szCs w:val="14"/>
          <w:shd w:val="clear" w:color="auto" w:fill="auto"/>
          <w:lang w:val="en-US" w:eastAsia="en-US" w:bidi="en-US"/>
        </w:rPr>
        <w:t>Oriental and Linguistic Studies.</w:t>
      </w:r>
    </w:p>
    <w:p>
      <w:pPr>
        <w:pStyle w:val="Style2"/>
        <w:keepNext w:val="0"/>
        <w:keepLines w:val="0"/>
        <w:widowControl w:val="0"/>
        <w:shd w:val="clear" w:color="auto" w:fill="auto"/>
        <w:bidi w:val="0"/>
        <w:spacing w:line="187" w:lineRule="auto"/>
        <w:ind w:left="0" w:firstLine="360"/>
        <w:jc w:val="left"/>
        <w:rPr>
          <w:sz w:val="14"/>
          <w:szCs w:val="14"/>
        </w:rPr>
      </w:pPr>
      <w:r>
        <w:rPr>
          <w:spacing w:val="0"/>
          <w:w w:val="100"/>
          <w:position w:val="0"/>
          <w:sz w:val="14"/>
          <w:szCs w:val="14"/>
          <w:shd w:val="clear" w:color="auto" w:fill="auto"/>
          <w:vertAlign w:val="superscript"/>
          <w:lang w:val="en-US" w:eastAsia="en-US" w:bidi="en-US"/>
        </w:rPr>
        <w:t>@@@11</w:t>
      </w:r>
      <w:r>
        <w:rPr>
          <w:spacing w:val="0"/>
          <w:w w:val="100"/>
          <w:position w:val="0"/>
          <w:sz w:val="14"/>
          <w:szCs w:val="14"/>
          <w:shd w:val="clear" w:color="auto" w:fill="auto"/>
          <w:lang w:val="en-US" w:eastAsia="en-US" w:bidi="en-US"/>
        </w:rPr>
        <w:t xml:space="preserve"> The </w:t>
      </w:r>
      <w:r>
        <w:rPr>
          <w:i/>
          <w:iCs/>
          <w:spacing w:val="0"/>
          <w:w w:val="100"/>
          <w:position w:val="0"/>
          <w:sz w:val="14"/>
          <w:szCs w:val="14"/>
          <w:shd w:val="clear" w:color="auto" w:fill="auto"/>
          <w:lang w:val="en-US" w:eastAsia="en-US" w:bidi="en-US"/>
        </w:rPr>
        <w:t>Sjirya-siddhanta,</w:t>
      </w:r>
      <w:r>
        <w:rPr>
          <w:spacing w:val="0"/>
          <w:w w:val="100"/>
          <w:position w:val="0"/>
          <w:sz w:val="14"/>
          <w:szCs w:val="14"/>
          <w:shd w:val="clear" w:color="auto" w:fill="auto"/>
          <w:lang w:val="en-US" w:eastAsia="en-US" w:bidi="en-US"/>
        </w:rPr>
        <w:t xml:space="preserve"> translated by (IV. F&gt;. Whitney and) E. Burgess, 1S60.</w:t>
      </w:r>
    </w:p>
    <w:p>
      <w:pPr>
        <w:pStyle w:val="Style2"/>
        <w:keepNext w:val="0"/>
        <w:keepLines w:val="0"/>
        <w:widowControl w:val="0"/>
        <w:shd w:val="clear" w:color="auto" w:fill="auto"/>
        <w:bidi w:val="0"/>
        <w:spacing w:line="187" w:lineRule="auto"/>
        <w:ind w:left="0" w:firstLine="360"/>
        <w:jc w:val="left"/>
        <w:rPr>
          <w:sz w:val="14"/>
          <w:szCs w:val="14"/>
        </w:rPr>
      </w:pPr>
      <w:r>
        <w:rPr>
          <w:spacing w:val="0"/>
          <w:w w:val="100"/>
          <w:position w:val="0"/>
          <w:sz w:val="14"/>
          <w:szCs w:val="14"/>
          <w:shd w:val="clear" w:color="auto" w:fill="auto"/>
          <w:vertAlign w:val="superscript"/>
          <w:lang w:val="en-US" w:eastAsia="en-US" w:bidi="en-US"/>
        </w:rPr>
        <w:t>@@@12</w:t>
      </w:r>
      <w:r>
        <w:rPr>
          <w:spacing w:val="0"/>
          <w:w w:val="100"/>
          <w:position w:val="0"/>
          <w:sz w:val="14"/>
          <w:szCs w:val="14"/>
          <w:shd w:val="clear" w:color="auto" w:fill="auto"/>
          <w:lang w:val="en-US" w:eastAsia="en-US" w:bidi="en-US"/>
        </w:rPr>
        <w:t xml:space="preserve"> The </w:t>
      </w:r>
      <w:r>
        <w:rPr>
          <w:i/>
          <w:iCs/>
          <w:spacing w:val="0"/>
          <w:w w:val="100"/>
          <w:position w:val="0"/>
          <w:sz w:val="14"/>
          <w:szCs w:val="14"/>
          <w:shd w:val="clear" w:color="auto" w:fill="auto"/>
          <w:lang w:val="en-US" w:eastAsia="en-US" w:bidi="en-US"/>
        </w:rPr>
        <w:t>Aryabhatiya,</w:t>
      </w:r>
      <w:r>
        <w:rPr>
          <w:spacing w:val="0"/>
          <w:w w:val="100"/>
          <w:position w:val="0"/>
          <w:sz w:val="14"/>
          <w:szCs w:val="14"/>
          <w:shd w:val="clear" w:color="auto" w:fill="auto"/>
          <w:lang w:val="en-US" w:eastAsia="en-US" w:bidi="en-US"/>
        </w:rPr>
        <w:t xml:space="preserve"> edited by H. Kern, 1874.</w:t>
      </w:r>
    </w:p>
    <w:p>
      <w:pPr>
        <w:pStyle w:val="Style2"/>
        <w:keepNext w:val="0"/>
        <w:keepLines w:val="0"/>
        <w:widowControl w:val="0"/>
        <w:shd w:val="clear" w:color="auto" w:fill="auto"/>
        <w:bidi w:val="0"/>
        <w:spacing w:line="187" w:lineRule="auto"/>
        <w:ind w:left="0" w:firstLine="360"/>
        <w:jc w:val="left"/>
        <w:rPr>
          <w:sz w:val="14"/>
          <w:szCs w:val="14"/>
        </w:rPr>
      </w:pPr>
      <w:r>
        <w:rPr>
          <w:spacing w:val="0"/>
          <w:w w:val="100"/>
          <w:position w:val="0"/>
          <w:sz w:val="14"/>
          <w:szCs w:val="14"/>
          <w:shd w:val="clear" w:color="auto" w:fill="auto"/>
          <w:vertAlign w:val="subscript"/>
          <w:lang w:val="en-US" w:eastAsia="en-US" w:bidi="en-US"/>
        </w:rPr>
        <w:t>@@@13</w:t>
      </w:r>
      <w:r>
        <w:rPr>
          <w:spacing w:val="0"/>
          <w:w w:val="100"/>
          <w:position w:val="0"/>
          <w:sz w:val="14"/>
          <w:szCs w:val="14"/>
          <w:shd w:val="clear" w:color="auto" w:fill="auto"/>
          <w:lang w:val="en-US" w:eastAsia="en-US" w:bidi="en-US"/>
        </w:rPr>
        <w:t xml:space="preserve"> The </w:t>
      </w:r>
      <w:r>
        <w:rPr>
          <w:i/>
          <w:iCs/>
          <w:spacing w:val="0"/>
          <w:w w:val="100"/>
          <w:position w:val="0"/>
          <w:sz w:val="14"/>
          <w:szCs w:val="14"/>
          <w:shd w:val="clear" w:color="auto" w:fill="auto"/>
          <w:lang w:val="en-US" w:eastAsia="en-US" w:bidi="en-US"/>
        </w:rPr>
        <w:t>Brihat-samhitd</w:t>
      </w:r>
      <w:r>
        <w:rPr>
          <w:spacing w:val="0"/>
          <w:w w:val="100"/>
          <w:position w:val="0"/>
          <w:sz w:val="14"/>
          <w:szCs w:val="14"/>
          <w:shd w:val="clear" w:color="auto" w:fill="auto"/>
          <w:lang w:val="en-US" w:eastAsia="en-US" w:bidi="en-US"/>
        </w:rPr>
        <w:t xml:space="preserve"> and </w:t>
      </w:r>
      <w:r>
        <w:rPr>
          <w:i/>
          <w:iCs/>
          <w:spacing w:val="0"/>
          <w:w w:val="100"/>
          <w:position w:val="0"/>
          <w:sz w:val="14"/>
          <w:szCs w:val="14"/>
          <w:shd w:val="clear" w:color="auto" w:fill="auto"/>
          <w:lang w:val="en-US" w:eastAsia="en-US" w:bidi="en-US"/>
        </w:rPr>
        <w:t>Vogaydtra,</w:t>
      </w:r>
      <w:r>
        <w:rPr>
          <w:spacing w:val="0"/>
          <w:w w:val="100"/>
          <w:position w:val="0"/>
          <w:sz w:val="14"/>
          <w:szCs w:val="14"/>
          <w:shd w:val="clear" w:color="auto" w:fill="auto"/>
          <w:lang w:val="en-US" w:eastAsia="en-US" w:bidi="en-US"/>
        </w:rPr>
        <w:t xml:space="preserve"> edited and translated by H. Kern; the </w:t>
      </w:r>
      <w:r>
        <w:rPr>
          <w:i/>
          <w:iCs/>
          <w:spacing w:val="0"/>
          <w:w w:val="100"/>
          <w:position w:val="0"/>
          <w:sz w:val="14"/>
          <w:szCs w:val="14"/>
          <w:shd w:val="clear" w:color="auto" w:fill="auto"/>
          <w:lang w:val="en-US" w:eastAsia="en-US" w:bidi="en-US"/>
        </w:rPr>
        <w:t>Laghu-jdtaka,</w:t>
      </w:r>
      <w:r>
        <w:rPr>
          <w:spacing w:val="0"/>
          <w:w w:val="100"/>
          <w:position w:val="0"/>
          <w:sz w:val="14"/>
          <w:szCs w:val="14"/>
          <w:shd w:val="clear" w:color="auto" w:fill="auto"/>
          <w:lang w:val="en-US" w:eastAsia="en-US" w:bidi="en-US"/>
        </w:rPr>
        <w:t xml:space="preserve"> edited by A. weber and H. Jacobi.</w:t>
      </w:r>
    </w:p>
    <w:p>
      <w:pPr>
        <w:pStyle w:val="Style2"/>
        <w:keepNext w:val="0"/>
        <w:keepLines w:val="0"/>
        <w:widowControl w:val="0"/>
        <w:shd w:val="clear" w:color="auto" w:fill="auto"/>
        <w:bidi w:val="0"/>
        <w:spacing w:line="180" w:lineRule="auto"/>
        <w:ind w:left="0" w:firstLine="360"/>
        <w:jc w:val="left"/>
        <w:rPr>
          <w:sz w:val="14"/>
          <w:szCs w:val="14"/>
        </w:rPr>
      </w:pPr>
      <w:r>
        <w:rPr>
          <w:spacing w:val="0"/>
          <w:w w:val="100"/>
          <w:position w:val="0"/>
          <w:sz w:val="14"/>
          <w:szCs w:val="14"/>
          <w:shd w:val="clear" w:color="auto" w:fill="auto"/>
          <w:vertAlign w:val="superscript"/>
          <w:lang w:val="en-US" w:eastAsia="en-US" w:bidi="en-US"/>
        </w:rPr>
        <w:t xml:space="preserve">@@@14 </w:t>
      </w:r>
      <w:r>
        <w:rPr>
          <w:spacing w:val="0"/>
          <w:w w:val="100"/>
          <w:position w:val="0"/>
          <w:sz w:val="14"/>
          <w:szCs w:val="14"/>
          <w:shd w:val="clear" w:color="auto" w:fill="auto"/>
          <w:lang w:val="en-US" w:eastAsia="en-US" w:bidi="en-US"/>
        </w:rPr>
        <w:t xml:space="preserve">A translation of both treatises, as well as of the respective chapters of Brahma-gupta’s work, was published (1817) by H. T. Colebrooke, with an important “ Dissertation on the Algebra of the Hindus,” reprinted in the </w:t>
      </w:r>
      <w:r>
        <w:rPr>
          <w:i/>
          <w:iCs/>
          <w:spacing w:val="0"/>
          <w:w w:val="100"/>
          <w:position w:val="0"/>
          <w:sz w:val="14"/>
          <w:szCs w:val="14"/>
          <w:shd w:val="clear" w:color="auto" w:fill="auto"/>
          <w:lang w:val="en-US" w:eastAsia="en-US" w:bidi="en-US"/>
        </w:rPr>
        <w:t>Misc. Essays, i</w:t>
      </w:r>
      <w:r>
        <w:rPr>
          <w:spacing w:val="0"/>
          <w:w w:val="100"/>
          <w:position w:val="0"/>
          <w:sz w:val="14"/>
          <w:szCs w:val="14"/>
          <w:shd w:val="clear" w:color="auto" w:fill="auto"/>
          <w:lang w:val="en-US" w:eastAsia="en-US" w:bidi="en-US"/>
        </w:rPr>
        <w:t xml:space="preserve">i. p. 375 </w:t>
      </w:r>
      <w:r>
        <w:rPr>
          <w:i/>
          <w:iCs/>
          <w:spacing w:val="0"/>
          <w:w w:val="100"/>
          <w:position w:val="0"/>
          <w:sz w:val="14"/>
          <w:szCs w:val="14"/>
          <w:shd w:val="clear" w:color="auto" w:fill="auto"/>
          <w:lang w:val="en-US" w:eastAsia="en-US" w:bidi="en-US"/>
        </w:rPr>
        <w:t>sq.</w:t>
      </w:r>
    </w:p>
    <w:p>
      <w:pPr>
        <w:widowControl w:val="0"/>
        <w:spacing w:line="1" w:lineRule="exact"/>
      </w:pPr>
    </w:p>
    <w:sectPr>
      <w:footnotePr>
        <w:pos w:val="pageBottom"/>
        <w:numFmt w:val="decimal"/>
        <w:numRestart w:val="continuous"/>
      </w:footnotePr>
      <w:pgSz w:w="12240" w:h="16840"/>
      <w:pgMar w:top="1988" w:left="1660" w:right="1044" w:bottom="978" w:header="1560" w:footer="550" w:gutter="0"/>
      <w:pgNumType w:start="17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10">
    <w:name w:val="Body text (5)_"/>
    <w:basedOn w:val="DefaultParagraphFont"/>
    <w:link w:val="Style9"/>
    <w:rPr>
      <w:rFonts w:ascii="Times New Roman" w:eastAsia="Times New Roman" w:hAnsi="Times New Roman" w:cs="Times New Roman"/>
      <w:b w:val="0"/>
      <w:bCs w:val="0"/>
      <w:i w:val="0"/>
      <w:iCs w:val="0"/>
      <w:smallCaps w:val="0"/>
      <w:strike w:val="0"/>
      <w:color w:val="554936"/>
      <w:sz w:val="13"/>
      <w:szCs w:val="13"/>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customStyle="1" w:styleId="Style9">
    <w:name w:val="Body text (5)"/>
    <w:basedOn w:val="Normal"/>
    <w:link w:val="CharStyle10"/>
    <w:pPr>
      <w:widowControl w:val="0"/>
      <w:shd w:val="clear" w:color="auto" w:fill="FFFFFF"/>
      <w:spacing w:line="192" w:lineRule="auto"/>
      <w:ind w:firstLine="240"/>
      <w:jc w:val="both"/>
    </w:pPr>
    <w:rPr>
      <w:rFonts w:ascii="Times New Roman" w:eastAsia="Times New Roman" w:hAnsi="Times New Roman" w:cs="Times New Roman"/>
      <w:b w:val="0"/>
      <w:bCs w:val="0"/>
      <w:i w:val="0"/>
      <w:iCs w:val="0"/>
      <w:smallCaps w:val="0"/>
      <w:strike w:val="0"/>
      <w:color w:val="5549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