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Florence ; chief among them were Simone di Martino,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Lippo Memmi,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especially Ambrogio Lorenzetti, 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painter of both panels and large frescos, which show rich and noble imaginative power and much technical skill. It is important 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note that Ambrogio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probably other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painters of his time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were, like the ear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lier Pisan Niccola,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beginning to study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then rare ex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amples of classical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sculpture. Ghiberti, 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his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Commentary,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speaks with enthu-.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siasm of the beauty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an antique statue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which he knew only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a drawing by Ambrogio Lorenzetti. In the second half of the 14th century Siena produced a large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number of more mediocre painters ; but these were suc</w:t>
        <w:softHyphen/>
        <w:t>ceeded by an abler generation, among whom the chief were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perhaps Sano di Pietro and Matteo di Giovanni, whose grand altarpiece (No. 1155), recently acquired, is one of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the glories of the English National Gallery. Many ex</w:t>
        <w:softHyphen/>
        <w:t xml:space="preserve">cellent masters were working at Siena throughout the 15th century and even later; the last names of any real note are those of Peruzzi and Beccafumi. </w:t>
      </w:r>
      <w:r>
        <w:rPr>
          <w:color w:val="4E4735"/>
          <w:spacing w:val="0"/>
          <w:w w:val="100"/>
          <w:position w:val="0"/>
          <w:shd w:val="clear" w:color="auto" w:fill="auto"/>
          <w:lang w:val="la-001" w:eastAsia="la-001" w:bidi="la-001"/>
        </w:rPr>
        <w:t>Sodo</w:t>
        <w:softHyphen/>
        <w:t xml:space="preserve">ma, </w:t>
      </w: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though he settled in Siena in 1501, does not belong to the school of Siena ; his early life was passed at Milan, chiefly under the influence of Da Vinci. His talent was developed at Rome among the fol</w:t>
        <w:softHyphen/>
        <w:t>lowers of Raphael.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On the whole the Florentine school surpasses in import</w:t>
        <w:softHyphen/>
        <w:t>ance all others throughout Italy. Cimabue, though 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did not emancipate himself from the Byzantine manner, was a painter of real genius (see fig. 2).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Giotto is perhaps the most important painter in the his</w:t>
        <w:softHyphen/>
        <w:t>tory of the develop</w:t>
        <w:softHyphen/>
        <w:t>ment of art, for during the whole of the 14th century the painters of Flor</w:t>
        <w:softHyphen/>
        <w:t>ence may be said to have been his pupils and imitators (see fig. 3). Orcag</w:t>
        <w:softHyphen/>
        <w:t>na alone developed rather a different line, more richly de</w:t>
        <w:softHyphen/>
        <w:t>corative in style and brighter in colour,— a link between the art of Giotto and that of Siena. In the 15th century Flor</w:t>
        <w:softHyphen/>
        <w:t>ence reached its pe</w:t>
        <w:softHyphen/>
        <w:t>riod of highest artistic splendour and developed an almost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6840"/>
      <w:pgMar w:top="2054" w:left="1764" w:right="972" w:bottom="920" w:header="1626" w:footer="492" w:gutter="0"/>
      <w:pgNumType w:start="65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45B"/>
      <w:sz w:val="18"/>
      <w:szCs w:val="18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line="223" w:lineRule="auto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B745B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