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 Deutscher Ingenieure, 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Wochenschrift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 f. Eisenbahnkunde; Akad. des Bauwesens; Architekten-Ver., 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Breslau,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Ges. der Bild. Künste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(1862). Constance,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Münsterbau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(1881). Dres</w:t>
        <w:softHyphen/>
        <w:t xml:space="preserve">den,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Sachs. Ingen.-u.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Architeken-Ver., P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rotok.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Hanover,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Arch.-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u. Ingen.-Ver., Ztschr.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Klagenfurt,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Berg-und Hutten-Mannischen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Leoben,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k. Berg-Akad.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Munich,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Bayr.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Arch.-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u. Ingen.-Ver., Ztschr.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Prague, Arch.-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Ingen.-Ver.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Vienna,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Oesterr. Ingen.- u.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-Ver., Ztschr. ; Ges. f. Bild. Künste.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Switzer</w:t>
        <w:softHyphen/>
        <w:t>land: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Lausanne,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Vaudoise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Ingén.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et des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Zurich,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Ver. Schweiz. Ingen. u.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Turin,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Soc. degli Ingeneri, Atti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(1868-70).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Belgium </w:t>
      </w: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Brussels,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Ingén.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Liége,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des Ingen.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>Holland: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Amsterdam,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Maatschappij tot Bevordering der Bouwkunst, Bouwkun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dige Bijdragen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Hague,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Kon. Inst. van Ingen., Verslag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Verhandel.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Tijdschr.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 </w:t>
      </w: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Portugal: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Lisbon,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dos Engenheiros Civ. Port. ; Soc. dos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Architectos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 Archeologos.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Madrid,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Central de Arquitectos.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6" w:val="left"/>
        </w:tabs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XV.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ab/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Naval </w:t>
      </w: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>and Military Science.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Royal United Service Institution,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first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known as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Naval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Military Library and Museum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took the name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United Service Institution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1839, and was incorporated in 1860 ; it has a professional museum and publishes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&amp;c.). The home of the society is in London, as is also that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Institution of Naval Architects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(1860), which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(4to, 1860, &amp;c.).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Artillery Institution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(1838), which issues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Minutes of Proceedings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(1858, &amp;c.), is at Woolwich,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Engineers Institute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(1875), which issues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Engineers Professional Papers,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Chatham.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Canada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Toronto,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Military Inst.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Simla,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United Service Institution.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Military Service Inst., 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(1879, &amp;c.). F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rance: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Réunion des Officiers,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now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Cercle Militaire,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Munich,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Militär.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Jahrbüch.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(1871, &amp;c.) ; Vienna,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k. Milit.-Geogr. Inst.,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Arbeiten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Holland: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Utrecht,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Vereen. tot Verspreiding van Kennis aangaande s'Lands Verdediging, Jaarsvcrslag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Werken.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Norway: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Christiania,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Milit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æ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Samfund, Nordsk Milit. Tidsskrift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Denmark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Copenhagen,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Krigsvidenskab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elige Selskab, Milit.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Tidsskrift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(1872, &amp;c.).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37" w:val="left"/>
        </w:tabs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XVI.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Agriculture and Trades.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Agricultural Society of England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began as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English Agricultural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1838 and was incorporated in 1840. It holds annually one migratory meeting in some part of England or Wales and two meetings in London, where are its head-quarters ; it publishes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(1840, &amp;c.). The leading pro</w:t>
        <w:softHyphen/>
        <w:t xml:space="preserve">vincial agricultural societies and associations are—Aberdeen,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Northern Agr.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(1843). Arbroath,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Angus Agr. Assoc.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Banbury (1834). Basingstoke,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Counties Agr.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(1859). Bath,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Bath and West of Engl. Soc. and Southern Counties Assoc.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(founded in 1777, enlarged in 1852, and reorganized in 1866),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Letters and Papers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(1780-1816)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&amp;c.). Belfast,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Chemico-Agr. Soc. of Ulster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E. Agr. Assoc. of Ireland.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Birkenhead,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Wirrel and Birkenhead Agr.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(1842). Brecknock (1855). Carluke (1833). Chelmsford,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Essex Agr.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(1858). Chertsey (1833). Doncaster (1872). Dublin,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Agr. Soc. of Ireland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(1841). Edinburgh,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Highland and Agr. Soc. of Scotland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(1784, incorporated in 1787),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(1799, &amp;c.). Halifax (1839, enlarged in 1858). Ipswich,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Suffolk Agr. Assoc.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(1831). Otley,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Wharfedale Agr.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Paisley,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Renfrewshire Agr.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(1802). Warwick. Worcester (1838).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Africa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Cape Town,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 Soc.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Australia: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Sydney,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 Soc. of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Wales.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British Guiana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Georgetown,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Agr. and Commercial Soc.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Canada: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Montreal,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d’Agr.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India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Calcutta,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Agr. and Hortic. Soc.,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(1842, 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United States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Albany,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State Agr. Soc., The Cultivator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Atlanta,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State Agr.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Inst. of Technology.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Hoboken,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Stevens Inst. of Technol.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Madison,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State Agr.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&amp;c.). Sacramento,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 Agr. and Hortic.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San Francisco,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Hort.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Troy,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Rensselaer Polytechnic Inst.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Worcester,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Free Inst. of Industry.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Algiers,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d’Agr.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Amiens,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Industrielle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Angers,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Bordeaux,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d'Agr.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Bou</w:t>
        <w:softHyphen/>
        <w:t xml:space="preserve">logne,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d'Agr.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Normande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pour l'Agr.,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l'Industrie,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 (1831),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d'Agr.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Commerce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(1762),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(1853-58)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Châlons-sur-Marne,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d'Agr.,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(1798),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(1807, &amp;c.). Elbeuf,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Industr.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Grenoble,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d’Agr.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d'Hortic.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Sud- Est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(1855, &amp;c.).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Mans,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du Matériel Agr.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Lyons.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Sc. Industr.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Annales.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Montpellier,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d'Agr.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(1808, &amp;c.). Nancy,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Centr. d'Agr.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Nat. d'Agr.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France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(1761 ; reconstructed in 1878 with a view of instructing Government on agricultural matters),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Rheims,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Industr.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&amp;c.). Rouen,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Industr.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;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Commerce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l'Ind.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Saint-Jean-d'Angély,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d’Agr.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(1833, &amp;c.). St Quentin,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Industr.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Toulouse,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d'Agr.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migratory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Congress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Deut</w:t>
        <w:softHyphen/>
        <w:t xml:space="preserve">scher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Volkswirthe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first met at Gotha in 1858.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Agram,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Kroatisch-Slav. Land- wirths. Ges.,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Blätter.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Augsburg,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Landwirths. Ver., Landw.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Blätter.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Vereinigt. Berlinerkaufleute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Industr. ; Ver.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Beförd.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Gewerbefleisses.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Bonn,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Landwirthsch. Central-Ver.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Bremen,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Landwirths.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Breslau,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</w:t>
        <w:softHyphen/>
        <w:t>wirths. Central-Ver.; Schles. Central Gewerbe-Ver.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Cassel,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Landwirths. Central- Ver.,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Cracow,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Akerbau Ges.,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Annalen.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Dantzic,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Volkswirths.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(1850). Darmstadt,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Landwirths. Ver., Ztschr.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Dresden,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Oekonomie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Ges. ; K. Sachs. Polytechnicum.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Fürth,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Gewerbe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-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Gratz,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k.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Steiermarkische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Landwirths. 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Greifswald,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Baltischer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Central-Ver.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Halle,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Landwirths. Cen</w:t>
        <w:softHyphen/>
        <w:t>tral-Ver.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Hanover,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Gewerbe-Ver.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Innsbruck,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k. Landwirths. Ges., Wochen- schr.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Kämt.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Industrie- u. Gewerbe-Ver.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Jena,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Landwirths. Inst.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Königsberg,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Ostprcuss. Landwirths. Central-Ver.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Leipsic,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Landwirths. Kreis-Ver.; Polytechn. 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Linz,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K. k. Landwirths. 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Lübeck,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Landwirths. Ver.,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Mühl</w:t>
        <w:softHyphen/>
        <w:t xml:space="preserve">hausen,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Industr., 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Munich,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Landwirths. Kreis-Ver. ; Polytechn. Ver.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Nuremberg,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Polytechn.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Pesth,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Ungar.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Akerbau Ges.,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Industrielle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Prague,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Böhmischer Gewerbe-Ver. ; Industrie Ges., 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Annalen.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Ratisbon,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Landwirths. Kreis-Ver., Bauernfreund.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Stuttgart,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K. Württemb. Central-Stelle, Wochenblatt.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Trieste,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Akerbau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Tübingen,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Landwirths. Ver.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Vienna,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K. k. Reichs Landwirths. Ges., 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Wiesbaden,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Gewerbe-Ver.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Swit</w:t>
        <w:softHyphen/>
        <w:t>zerland: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Oekonom.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Lausanne,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d'Agr.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 Suisse Romande.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Zurich,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Landwirths. 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Gartenbau.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Italy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Bologna,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Agraria,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Annal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Cagliari,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Agr. ed Econom.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Florence,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Econom. ed Agr., Rendiconti.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Milan,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Agr. di Lombardia; Soc. Gen. degli Agricolt. Ital.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d'Incoragg. di Arti e Mestieri, Discorsi.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Perugia,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Econom. ed Agr., Atti.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Turin,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Accad. Reale di Agricolt. ; Assoc. Agr. Ital., Esercitazioni.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Verona,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Accad. d'Agricolt.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Belgium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Centr. d’Agricult.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Ghent,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d’Agr.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de Bot.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Liége,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d'Agr., Journ.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Verviers,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Industr. et Commerc.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Holland: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Amsterdam,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Aardrijskundig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Genootschap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Vereeniging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voor Volksvlijt.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Denmark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Copenhagen,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Landhuusholdnings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Selskab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Tabelv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æ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rk.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Norway: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Christiania,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Polytekniske Forening.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Sweden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X.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Landt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softHyphen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bruks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Akademien.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Portugal: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Barcelona,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Econom.,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Actas.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Lisbon,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Inst. Real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Agric.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Soc.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Promotern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Industr.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Madrid, 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Econom. Matritense,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Anales.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Oporto,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Polytechn.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Russia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Dorpat,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Livländische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Oekonom. Ges.,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Jahrbuch.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Kazan,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Imp. Econom. Soc., Monthly Reports.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Moscow,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Imp. Soc. of Agriculturalists.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Odessa,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Agronom.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of S. Russia.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Riga,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Technical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Econom. Soc., Trans. ; Technical Soc.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Rou</w:t>
        <w:softHyphen/>
        <w:t>mania: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Bucharest,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Roumaine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d'Agr.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35" w:val="left"/>
        </w:tabs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XVII.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Literature, History, and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Archæology.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des Orientalistes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first met at Paris in 1873 ; it issues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Comptes Rendus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&amp;c.).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Bibliographique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International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held its first meeting in 1878, and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Congrès des Américanistes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its first meeting in 1875.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Society of Literature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(1823, incorporated in 1826),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(4to, 1829-39; 8vo, 1843, &amp;c.),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Asiatic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(1823),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(1834, &amp;c.), have their headquarters in London, as well as the following literary societies and printing clubs, all of which issue publications 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—Aristotelian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Authors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Ballad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Browning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Carlyle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Chaucer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Early English Text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East India Association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English Dialect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Gaelic, Hebrew Literature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Hellenic Studies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Index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Library Association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London Dialectical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 Shakspere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Oriental Translation Fund (1828), Pali Text, Philobiblon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(1858)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Philological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Roxburghe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(1812),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Shorthand, Wordsworth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Wyclif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Cambridge Philological Society,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Glasgow Hunterian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(1871),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Lancashire and Cheshire Historical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(1828), at Liverpool,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Manchester Literary Club,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Transadions and Papers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&amp;c.),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Manx Society (1858),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Douglas, may also be mentioned.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oldest and most important society in England dealing with history and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archæology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Society of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Antiquaries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 London,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enthusiasts trace to an association founded by Archbishop Parker in 1572. The meetings were not publicly recommenced until 1707 ; the present body was incorporated in 1751 ; it publishes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Vetera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Monumenta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(fol.,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1747, &amp;c.),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Arch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æ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ologia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(4to, 1770, &amp;c.),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(8vo, 1849, &amp;c.).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Archaeological Institute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issuing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Archaeological 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(1845, &amp;c.);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British Archaeological Association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(1846, &amp;c.);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Numismatic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(1836), issuing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Numismatic Chronicle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(1838, &amp;c.) ;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Royal Historical Society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belong to London, as well as the following historical and anti</w:t>
        <w:softHyphen/>
        <w:t>quarian societies, all of which issue publications :—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Arundel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Camden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(183S),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Cymmrodorion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(1751-73, revived in 1820),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Dilettanti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(1734),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Folk Lore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Harleian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Holbein, Huguenot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London and Middlesex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Arch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æ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(l855),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Medallists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Middlesex County Records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Pal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æ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ographical,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Pipe Roll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Rabelais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Bibl.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Archæol.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for Prot. Anc. Buildings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Topographical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(1880).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Society of Antiquaries of Scotland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(1790), at Edinburgh, and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Irish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Archæology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Celtic Society,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Dublin, are the leading associations outside London. Among others are— Aberdeen,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Spalding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Bedfordshire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Archæol.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Architect. Soc.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(1844); Bristol,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Bristol and Gloucester Arch.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Cambrian Arch. Assoc.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Cambridge Antiq.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 ; Dublin,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Hist. and Arch. Soc. 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Durham,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Surtees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Essex Arch.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(1852); Exeter,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Diocesan Arch.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Glasgow Arch.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Kent Arch.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Lanc. and Cheshire Antiq. Soc.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(1883) ; Manchester,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Chetham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Newcastle-on-Tyne Soc. of Antiq.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(1813) ; Norwich.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Norfolk and Norwich Arch.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 ; Oxford,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Architect. and Hist. Soc.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Purbeck Soc. ; Sussex Arch.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 ; Welshpool,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Powys Land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(1867);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Yorkshire Arch. and Topogr. Assoc.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Canada: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Montreal,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Hist.,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&amp;c.);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Numism. and Antiq. Soc.,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&amp;c.). Quebec,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Lit. and Hist.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(1837, &amp;c.). Toronto,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Lit. and Hist. Soc.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Hong Kong,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Asiatic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Shanghai,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Asiatic Soc.,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Bombay,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Asiatic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(1844, &amp;c.). Calcutta,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Asiatic Soc. of Bengal,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(1832, 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&amp;c). Colombo,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Asiatic Soc.,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(1844, &amp;c.). Singapore,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Roy. Asiatic Soc.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United States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Baltimore,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Mass. Hist. Soc., Collections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(1792, &amp;c.) and Proc. (1859,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Engl. Hist.-Gen.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Oriental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&amp;c.). Brunswick,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Chicago,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Concord,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(1824, &amp;c.). Hartford,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Philolog. Soc. ; Hist. Soc.,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&amp;c.). Madison,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(1855, &amp;c.). Minneapolis,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&amp;c.). Montpelier,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 of Vermont,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&amp;c.). New York,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(1811,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Genealog.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Library Assoc.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Libr. Journ.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Soc., Mem.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(1826, &amp;c.)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Numism. and Arch. Soc.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(1865). Portland,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Maine Hist. Soc.,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(1831, &amp;c.). Providence,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Soc., Coll.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(1827, &amp;c.). Richmond,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Virg. Hist. and Phil. Soc., Publ.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 St Louis,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Missouri Hist. Soc.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Savannah,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Soc., Coll.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(1840, &amp;c.). Topeka,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Soc., Trans.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(1881,&amp;c.). Worcester,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Antiq. Soc., Proc.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Amer.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(1820,&amp;c.).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France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Congrès Archéologique de la France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first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met 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1834. Algiers,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Uist.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Revue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Amiens,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des Antiq.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Angoulême,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Arch.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Bordeaux,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Archéol.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Caen,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des Antiq. de Normandie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Fran. d’Arch.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Comptes Rend.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 Mens.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&amp;c.). Constantine,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Recueil.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Dijon,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Comm. des Antiquités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(1832, &amp;c.).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Limoges,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Hist.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Lyons,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Uist.,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Litt.,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(1807),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(1861, &amp;c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)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Montpellier,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Arch.,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Nancy,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d’Arch. de Lorraine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Journ.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Nantes,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Orleans,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et Uist.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Paris,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Nat. des Antiq. de Fr.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(based on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Académie Celtique), 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(ze.)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 l'Hist. de France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has published about 270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 l’École Nat. des Chartes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(1854),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Bibliothèque ; Soc. Asiatique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Journal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Asiat.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&amp;c.),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Fran. d’Arch. et de Numism.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; 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l'Hist. du Prot. Fran. ; Soc. de Linguistique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Bibliogr.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(1868),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Polybiblion.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Poitiers,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Soc. des Antiq.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Rouen,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 l'Hist. de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Norm.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Publ.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Toulouse,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Tours,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Soc. Arch.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Austria- Hungary: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Gesam. Ver. d. D. Gesch. u. Alt.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Vereine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Agram.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Ges. f. Süd- Slav. Alterth.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Altenburg,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Gesch. 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Alterthums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(1841, &amp;c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)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Augsburg,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(1820, reorganized in 1834),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Jahresber.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(1835, &amp;c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Baden,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Alterthums-Ver.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Schriften.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Bamberg,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(1834, &amp;c.). Berlin,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Ver. f. Gesch. d. Mark Brandenb.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Forschungen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(ze.); Ver. f. d. Gesch. Berlins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Schriften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; Hist. Ges.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Archäolog.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Archäol. Zeitung; Numism.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Jahresber.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(ze.), Herold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(1869);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Phil.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(1843),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Der Gedanke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D. Philologie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Jahresber.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(ze.).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Bonn,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 f. Alterth.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Jahresber. ; Soc.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Philologa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Bran</w:t>
        <w:softHyphen/>
        <w:t xml:space="preserve">denburg,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(1868),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Jahresber.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(1870, &amp;c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)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Braunsberg.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Hist.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(1858, &amp;c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)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Breslau,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 f. Gesch. u. Alt. Schl.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Breslauer Dichterschule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Cassel,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Ver.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f. Hess. Gesch.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Cologne,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(1854),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Annalen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Darmstadt,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Hist. Ver.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(ze.).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Dresden,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K. Sachs. Alt.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Jahresber.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(ze.)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(ze.).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Frankfort,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Ges. f. Deutschlands ält. Geschichts</w:t>
        <w:softHyphen/>
        <w:t>kunde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(1819 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since 1875 under guidance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Central-Dir. d. Mon. Germ.), Mon. Germ.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(1826, &amp;c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);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Ges.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Kunst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(1858, &amp;c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Freies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Hochstift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Goethe’s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Vaterhaus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Halle,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Thür.-Sächs.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D. Morgenl.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Abhandl.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1859,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Hanover,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Hist.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Kiel,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Ges. f. Gesch. Schl.-Holst.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(1833, re</w:t>
        <w:softHyphen/>
        <w:t xml:space="preserve">organized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1873),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(1833, &amp;c.)and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(1870, &amp;c.)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Leipsic,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D. Ges z. Erforschung vaterl. Spr. u. Alterth.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(1697, reorganized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1824),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Jahresber.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Fürstlich Jablonowski’s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(1768),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Acta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(1772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Börsenver.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D. Buchhändler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Börsenblatt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(1834, &amp;c.);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Hist. Theolog. Ges.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(1814).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Lübeck,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Hansischer Ges.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(1870). Munich,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Hist. Ver.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Alterthums-Ver.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(1864)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Nuremberg,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Pegnesischer Blumen</w:t>
        <w:softHyphen/>
        <w:t>orden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(1644), had united with it in 1874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(1839). Prague,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 Gesch.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Ratisbon,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Hist. Ver.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(1832, &amp;c.). Schwerin,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Ver. f. Meckl. Gesch. u. Alterthumsk.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Jahrbuch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(1836, &amp;c.) and other publications.</w:t>
      </w:r>
    </w:p>
    <w:sectPr>
      <w:footnotePr>
        <w:pos w:val="pageBottom"/>
        <w:numFmt w:val="decimal"/>
        <w:numRestart w:val="continuous"/>
      </w:footnotePr>
      <w:pgSz w:w="12240" w:h="16840"/>
      <w:pgMar w:top="1783" w:left="1418" w:right="1434" w:bottom="130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2"/>
      <w:szCs w:val="12"/>
      <w:u w:val="none"/>
    </w:rPr>
  </w:style>
  <w:style w:type="paragraph" w:styleId="Style2">
    <w:name w:val="Body text"/>
    <w:basedOn w:val="Normal"/>
    <w:link w:val="CharStyle3"/>
    <w:pPr>
      <w:widowControl w:val="0"/>
      <w:shd w:val="clear" w:color="auto" w:fill="FFFFFF"/>
      <w:ind w:firstLine="1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