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and the central tableland, and is divided by ranges of heights proceeding on the one side from the Pyrenees, on the other from the base of the Moncayo, into two portions. The uppermost of these, a plateau of between 1000 and 1300 feet above sea-level, is only about one-fourth of the size of the remaining portion, which is chiefly lowland, but is cut off from the coast by a highland tract connect</w:t>
        <w:softHyphen/>
        <w:t>ing the interior tableland with spurs from the Pyrenees. The Guadalquivir basin is likewise divided by the con</w:t>
        <w:softHyphen/>
        <w:t>figuration of the ground into a small upper portion of con</w:t>
        <w:softHyphen/>
        <w:t xml:space="preserve">siderable elevation and a much larger lower portion mainly lowland, the latter composed from Seville downwards of a perfectly level and to a large extent unhealthy alluvium </w:t>
      </w:r>
      <w:r>
        <w:rPr>
          <w:i/>
          <w:iCs/>
          <w:spacing w:val="0"/>
          <w:w w:val="100"/>
          <w:position w:val="0"/>
          <w:shd w:val="clear" w:color="auto" w:fill="auto"/>
          <w:lang w:val="en-US" w:eastAsia="en-US" w:bidi="en-US"/>
        </w:rPr>
        <w:t>(las marismas).</w:t>
      </w:r>
      <w:r>
        <w:rPr>
          <w:spacing w:val="0"/>
          <w:w w:val="100"/>
          <w:position w:val="0"/>
          <w:shd w:val="clear" w:color="auto" w:fill="auto"/>
          <w:lang w:val="en-US" w:eastAsia="en-US" w:bidi="en-US"/>
        </w:rPr>
        <w:t xml:space="preserve"> The division between these two sections is indicated by the change in the course of the main stream from a due westerly to a more south-westerly direction.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main water-parting of the peninsula is everywhere near the edge of the tableland on the north, east, and south, and hence describes a semicircle with the convexity to the east. The Ebro alone of the great rivers flows into the Mediterranean. The following table gives the length of the principal Iberian rivers, with the area of their basins,—the length according to different authorities, the area of the basins according to Strelbitsky, whose measure</w:t>
        <w:softHyphen/>
        <w:t>ments of area appear to be more trustworthy than those made by him of the length of rivers :—</w:t>
      </w:r>
    </w:p>
    <w:tbl>
      <w:tblPr>
        <w:tblOverlap w:val="never"/>
        <w:jc w:val="left"/>
        <w:tblLayout w:type="fixed"/>
      </w:tblPr>
      <w:tblGrid>
        <w:gridCol w:w="1591"/>
        <w:gridCol w:w="659"/>
        <w:gridCol w:w="655"/>
        <w:gridCol w:w="738"/>
        <w:gridCol w:w="799"/>
      </w:tblGrid>
      <w:tr>
        <w:trPr>
          <w:trHeight w:val="295"/>
        </w:trPr>
        <w:tc>
          <w:tcPr>
            <w:vMerge w:val="restart"/>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Length in English Miles.</w:t>
            </w:r>
          </w:p>
        </w:tc>
        <w:tc>
          <w:tcPr>
            <w:vMerge w:val="restart"/>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211" w:lineRule="auto"/>
              <w:ind w:left="0" w:firstLine="0"/>
              <w:jc w:val="left"/>
              <w:rPr>
                <w:sz w:val="12"/>
                <w:szCs w:val="12"/>
              </w:rPr>
            </w:pPr>
            <w:r>
              <w:rPr>
                <w:spacing w:val="0"/>
                <w:w w:val="100"/>
                <w:position w:val="0"/>
                <w:sz w:val="12"/>
                <w:szCs w:val="12"/>
                <w:shd w:val="clear" w:color="auto" w:fill="auto"/>
                <w:lang w:val="en-US" w:eastAsia="en-US" w:bidi="en-US"/>
              </w:rPr>
              <w:t>Area in Square Miles.</w:t>
            </w:r>
          </w:p>
        </w:tc>
      </w:tr>
      <w:tr>
        <w:trPr>
          <w:trHeight w:val="299"/>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Wagner.</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Ritter.</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Strelbitsky.</w:t>
            </w:r>
          </w:p>
        </w:tc>
        <w:tc>
          <w:tcPr>
            <w:vMerge/>
            <w:tcBorders>
              <w:left w:val="single" w:sz="4"/>
              <w:right w:val="single" w:sz="4"/>
            </w:tcBorders>
            <w:shd w:val="clear" w:color="auto" w:fill="FFFFFF"/>
            <w:vAlign w:val="center"/>
          </w:tcPr>
          <w:p>
            <w:pPr/>
          </w:p>
        </w:tc>
      </w:tr>
      <w:tr>
        <w:trPr>
          <w:trHeight w:val="184"/>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483" w:val="left"/>
              </w:tabs>
              <w:bidi w:val="0"/>
              <w:spacing w:line="240" w:lineRule="auto"/>
              <w:ind w:left="0" w:firstLine="0"/>
              <w:jc w:val="left"/>
            </w:pPr>
            <w:r>
              <w:rPr>
                <w:spacing w:val="0"/>
                <w:w w:val="100"/>
                <w:position w:val="0"/>
                <w:shd w:val="clear" w:color="auto" w:fill="auto"/>
                <w:lang w:val="en-US" w:eastAsia="en-US" w:bidi="en-US"/>
              </w:rPr>
              <w:t>Ebro</w:t>
              <w:tab/>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442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416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470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38,580</w:t>
            </w:r>
          </w:p>
        </w:tc>
      </w:tr>
      <w:tr>
        <w:trPr>
          <w:trHeight w:val="155"/>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487" w:val="left"/>
              </w:tabs>
              <w:bidi w:val="0"/>
              <w:spacing w:line="240" w:lineRule="auto"/>
              <w:ind w:left="0" w:firstLine="0"/>
              <w:jc w:val="left"/>
            </w:pPr>
            <w:r>
              <w:rPr>
                <w:spacing w:val="0"/>
                <w:w w:val="100"/>
                <w:position w:val="0"/>
                <w:shd w:val="clear" w:color="auto" w:fill="auto"/>
                <w:lang w:val="de-DE" w:eastAsia="de-DE" w:bidi="de-DE"/>
              </w:rPr>
              <w:t xml:space="preserve">Duero </w:t>
            </w:r>
            <w:r>
              <w:rPr>
                <w:spacing w:val="0"/>
                <w:w w:val="100"/>
                <w:position w:val="0"/>
                <w:shd w:val="clear" w:color="auto" w:fill="auto"/>
                <w:lang w:val="en-US" w:eastAsia="en-US" w:bidi="en-US"/>
              </w:rPr>
              <w:t>(Douro)</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452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507</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485</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36,710</w:t>
            </w:r>
          </w:p>
        </w:tc>
      </w:tr>
      <w:tr>
        <w:trPr>
          <w:trHeight w:val="155"/>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487" w:val="left"/>
              </w:tabs>
              <w:bidi w:val="0"/>
              <w:spacing w:line="240" w:lineRule="auto"/>
              <w:ind w:left="0" w:firstLine="0"/>
              <w:jc w:val="left"/>
            </w:pPr>
            <w:r>
              <w:rPr>
                <w:spacing w:val="0"/>
                <w:w w:val="100"/>
                <w:position w:val="0"/>
                <w:shd w:val="clear" w:color="auto" w:fill="auto"/>
                <w:lang w:val="en-US" w:eastAsia="en-US" w:bidi="en-US"/>
              </w:rPr>
              <w:t>Tagus</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553</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566</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31,865</w:t>
            </w:r>
          </w:p>
        </w:tc>
      </w:tr>
      <w:tr>
        <w:trPr>
          <w:trHeight w:val="155"/>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483" w:val="left"/>
              </w:tabs>
              <w:bidi w:val="0"/>
              <w:spacing w:line="240" w:lineRule="auto"/>
              <w:ind w:left="0" w:firstLine="0"/>
              <w:jc w:val="left"/>
            </w:pPr>
            <w:r>
              <w:rPr>
                <w:spacing w:val="0"/>
                <w:w w:val="100"/>
                <w:position w:val="0"/>
                <w:shd w:val="clear" w:color="auto" w:fill="auto"/>
                <w:lang w:val="de-DE" w:eastAsia="de-DE" w:bidi="de-DE"/>
              </w:rPr>
              <w:t>Guadiana</w:t>
            </w:r>
            <w:r>
              <w:rPr>
                <w:spacing w:val="0"/>
                <w:w w:val="100"/>
                <w:position w:val="0"/>
                <w:shd w:val="clear" w:color="auto" w:fill="auto"/>
                <w:lang w:val="en-US" w:eastAsia="en-US" w:bidi="en-US"/>
              </w:rPr>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510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490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316</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25,300</w:t>
            </w:r>
          </w:p>
        </w:tc>
      </w:tr>
      <w:tr>
        <w:trPr>
          <w:trHeight w:val="266"/>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tabs>
                <w:tab w:leader="dot" w:pos="1505" w:val="left"/>
              </w:tabs>
              <w:bidi w:val="0"/>
              <w:spacing w:line="240" w:lineRule="auto"/>
              <w:ind w:left="0" w:firstLine="0"/>
              <w:jc w:val="left"/>
            </w:pPr>
            <w:r>
              <w:rPr>
                <w:spacing w:val="0"/>
                <w:w w:val="100"/>
                <w:position w:val="0"/>
                <w:shd w:val="clear" w:color="auto" w:fill="auto"/>
                <w:lang w:val="en-US" w:eastAsia="en-US" w:bidi="en-US"/>
              </w:rPr>
              <w:t>Guadalquivir</w:t>
              <w:tab/>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337</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350</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374</w:t>
            </w:r>
          </w:p>
        </w:tc>
        <w:tc>
          <w:tcPr>
            <w:tcBorders>
              <w:left w:val="single" w:sz="4"/>
              <w:bottom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21,580</w:t>
            </w:r>
          </w:p>
        </w:tc>
      </w:tr>
    </w:tbl>
    <w:p>
      <w:pPr>
        <w:widowControl w:val="0"/>
        <w:spacing w:after="119" w:line="1" w:lineRule="exact"/>
      </w:pP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With the exception of the Guadalquivir, none of the Iberian rivers is of great service for inland navigation, so far as they lie within the Spanish frontier. On the other hand, those of the east and south are of great value for irrigation, and the Jucar and Segura in the south-east are employed in floating timber from the Serrania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Cuenca.</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The </w:t>
      </w:r>
      <w:r>
        <w:rPr>
          <w:smallCaps/>
          <w:spacing w:val="0"/>
          <w:w w:val="100"/>
          <w:position w:val="0"/>
          <w:shd w:val="clear" w:color="auto" w:fill="auto"/>
          <w:lang w:val="en-US" w:eastAsia="en-US" w:bidi="en-US"/>
        </w:rPr>
        <w:t>Ebro</w:t>
      </w:r>
      <w:r>
        <w:rPr>
          <w:spacing w:val="0"/>
          <w:w w:val="100"/>
          <w:position w:val="0"/>
          <w:shd w:val="clear" w:color="auto" w:fill="auto"/>
          <w:lang w:val="en-US" w:eastAsia="en-US" w:bidi="en-US"/>
        </w:rPr>
        <w:t xml:space="preserve"> and </w:t>
      </w:r>
      <w:r>
        <w:rPr>
          <w:smallCaps/>
          <w:spacing w:val="0"/>
          <w:w w:val="100"/>
          <w:position w:val="0"/>
          <w:shd w:val="clear" w:color="auto" w:fill="auto"/>
          <w:lang w:val="en-US" w:eastAsia="en-US" w:bidi="en-US"/>
        </w:rPr>
        <w:t>Tagus</w:t>
      </w:r>
      <w:r>
        <w:rPr>
          <w:spacing w:val="0"/>
          <w:w w:val="100"/>
          <w:position w:val="0"/>
          <w:shd w:val="clear" w:color="auto" w:fill="auto"/>
          <w:lang w:val="en-US" w:eastAsia="en-US" w:bidi="en-US"/>
        </w:rPr>
        <w:t xml:space="preserve"> are described in separate articles </w:t>
      </w:r>
      <w:r>
        <w:rPr>
          <w:i/>
          <w:iCs/>
          <w:spacing w:val="0"/>
          <w:w w:val="100"/>
          <w:position w:val="0"/>
          <w:shd w:val="clear" w:color="auto" w:fill="auto"/>
          <w:lang w:val="en-US" w:eastAsia="en-US" w:bidi="en-US"/>
        </w:rPr>
        <w:t>(q.v.).</w:t>
      </w:r>
    </w:p>
    <w:p>
      <w:pPr>
        <w:pStyle w:val="Style9"/>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Mino (Portug. </w:t>
      </w:r>
      <w:r>
        <w:rPr>
          <w:i/>
          <w:iCs/>
          <w:spacing w:val="0"/>
          <w:w w:val="100"/>
          <w:position w:val="0"/>
          <w:shd w:val="clear" w:color="auto" w:fill="auto"/>
          <w:lang w:val="en-US" w:eastAsia="en-US" w:bidi="en-US"/>
        </w:rPr>
        <w:t>Minho,</w:t>
      </w:r>
      <w:r>
        <w:rPr>
          <w:spacing w:val="0"/>
          <w:w w:val="100"/>
          <w:position w:val="0"/>
          <w:shd w:val="clear" w:color="auto" w:fill="auto"/>
          <w:lang w:val="en-US" w:eastAsia="en-US" w:bidi="en-US"/>
        </w:rPr>
        <w:t xml:space="preserve"> the </w:t>
      </w:r>
      <w:r>
        <w:rPr>
          <w:i/>
          <w:iCs/>
          <w:spacing w:val="0"/>
          <w:w w:val="100"/>
          <w:position w:val="0"/>
          <w:shd w:val="clear" w:color="auto" w:fill="auto"/>
          <w:lang w:val="la-001" w:eastAsia="la-001" w:bidi="la-001"/>
        </w:rPr>
        <w:t>Minius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of the Romans) is formed by the union of two small streams in the north of the province of Lugo, and flows first southwards, then on the whole south-westwards to the Atlantic, forming in the lower part of its course the boundary between Spain and Portugal. It becomes navigable for small vessels at Salvaterra, 25 miles above its mouth. Large vessels cannot cross the bar at its mouth. Its only important tributary is the Sil (left), which at the confluence is the larger river of the two.</w:t>
      </w:r>
    </w:p>
    <w:p>
      <w:pPr>
        <w:pStyle w:val="Style9"/>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w:t>
      </w:r>
      <w:r>
        <w:rPr>
          <w:spacing w:val="0"/>
          <w:w w:val="100"/>
          <w:position w:val="0"/>
          <w:shd w:val="clear" w:color="auto" w:fill="auto"/>
          <w:lang w:val="de-DE" w:eastAsia="de-DE" w:bidi="de-DE"/>
        </w:rPr>
        <w:t xml:space="preserve">Duero </w:t>
      </w:r>
      <w:r>
        <w:rPr>
          <w:spacing w:val="0"/>
          <w:w w:val="100"/>
          <w:position w:val="0"/>
          <w:shd w:val="clear" w:color="auto" w:fill="auto"/>
          <w:lang w:val="en-US" w:eastAsia="en-US" w:bidi="en-US"/>
        </w:rPr>
        <w:t xml:space="preserve">(Portug. </w:t>
      </w:r>
      <w:r>
        <w:rPr>
          <w:i/>
          <w:iCs/>
          <w:spacing w:val="0"/>
          <w:w w:val="100"/>
          <w:position w:val="0"/>
          <w:shd w:val="clear" w:color="auto" w:fill="auto"/>
          <w:lang w:val="en-US" w:eastAsia="en-US" w:bidi="en-US"/>
        </w:rPr>
        <w:t>Douro,</w:t>
      </w:r>
      <w:r>
        <w:rPr>
          <w:spacing w:val="0"/>
          <w:w w:val="100"/>
          <w:position w:val="0"/>
          <w:shd w:val="clear" w:color="auto" w:fill="auto"/>
          <w:lang w:val="en-US" w:eastAsia="en-US" w:bidi="en-US"/>
        </w:rPr>
        <w:t xml:space="preserve"> the </w:t>
      </w:r>
      <w:r>
        <w:rPr>
          <w:i/>
          <w:iCs/>
          <w:spacing w:val="0"/>
          <w:w w:val="100"/>
          <w:position w:val="0"/>
          <w:shd w:val="clear" w:color="auto" w:fill="auto"/>
          <w:lang w:val="la-001" w:eastAsia="la-001" w:bidi="la-001"/>
        </w:rPr>
        <w:t>Durius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of the Romans) emerges from the rock as a small stream among the mountains of Urbion on the borders of the provinces of Logrono and Soria, and, after describing a wide sweep to the east, flows westwards across the northern half of the Spanish tableland and across Portugal. For a distance of nearly 60 miles it forms the boundary between the two countries. It begins to be navigable 80 miles above its mouth, but sea-going vessels ascend only to Oporto, and even so far, on account of a bar at the mouth, only at high tide. The principal tributaries on the right are the Pisuerga and Esla, on the left the Adaja, Tormes, and Coa (the last in Portugal).</w:t>
      </w:r>
    </w:p>
    <w:p>
      <w:pPr>
        <w:pStyle w:val="Style9"/>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The </w:t>
      </w:r>
      <w:r>
        <w:rPr>
          <w:spacing w:val="0"/>
          <w:w w:val="100"/>
          <w:position w:val="0"/>
          <w:shd w:val="clear" w:color="auto" w:fill="auto"/>
          <w:lang w:val="de-DE" w:eastAsia="de-DE" w:bidi="de-DE"/>
        </w:rPr>
        <w:t xml:space="preserve">Guadiana </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Wádi Ana,</w:t>
      </w:r>
      <w:r>
        <w:rPr>
          <w:spacing w:val="0"/>
          <w:w w:val="100"/>
          <w:position w:val="0"/>
          <w:shd w:val="clear" w:color="auto" w:fill="auto"/>
          <w:lang w:val="en-US" w:eastAsia="en-US" w:bidi="en-US"/>
        </w:rPr>
        <w:t xml:space="preserve"> the </w:t>
      </w:r>
      <w:r>
        <w:rPr>
          <w:i/>
          <w:iCs/>
          <w:spacing w:val="0"/>
          <w:w w:val="100"/>
          <w:position w:val="0"/>
          <w:shd w:val="clear" w:color="auto" w:fill="auto"/>
          <w:lang w:val="en-US" w:eastAsia="en-US" w:bidi="en-US"/>
        </w:rPr>
        <w:t>Anas</w:t>
      </w:r>
      <w:r>
        <w:rPr>
          <w:spacing w:val="0"/>
          <w:w w:val="100"/>
          <w:position w:val="0"/>
          <w:shd w:val="clear" w:color="auto" w:fill="auto"/>
          <w:lang w:val="en-US" w:eastAsia="en-US" w:bidi="en-US"/>
        </w:rPr>
        <w:t xml:space="preserve"> of the ancients) was long believed to take its rise in the district known as the Campo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 xml:space="preserve">Montiel, where a string of small lakes known as the Lagunas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 xml:space="preserve">Ruidera (partly in Ciudad Real, partly in Albacete) are connected by a stream which, on leaving the last of them, flows north-westwards towards the Zancara and then disappears within two or three miles of that river. About 22 miles to the south-west of the point of disappearance the stream was believed to re-emerge in the form of several large springs which form a number of lakes at no great distance from the Zancara, and these lakes are hence known as the “eyes of the </w:t>
      </w:r>
      <w:r>
        <w:rPr>
          <w:spacing w:val="0"/>
          <w:w w:val="100"/>
          <w:position w:val="0"/>
          <w:shd w:val="clear" w:color="auto" w:fill="auto"/>
          <w:lang w:val="de-DE" w:eastAsia="de-DE" w:bidi="de-DE"/>
        </w:rPr>
        <w:t>Guadiana” (</w:t>
      </w:r>
      <w:r>
        <w:rPr>
          <w:i/>
          <w:iCs/>
          <w:spacing w:val="0"/>
          <w:w w:val="100"/>
          <w:position w:val="0"/>
          <w:shd w:val="clear" w:color="auto" w:fill="auto"/>
          <w:lang w:val="de-DE" w:eastAsia="de-DE" w:bidi="de-DE"/>
        </w:rPr>
        <w:t xml:space="preserve">los </w:t>
      </w:r>
      <w:r>
        <w:rPr>
          <w:i/>
          <w:iCs/>
          <w:spacing w:val="0"/>
          <w:w w:val="100"/>
          <w:position w:val="0"/>
          <w:shd w:val="clear" w:color="auto" w:fill="auto"/>
          <w:lang w:val="en-US" w:eastAsia="en-US" w:bidi="en-US"/>
        </w:rPr>
        <w:t xml:space="preserve">ojos </w:t>
      </w:r>
      <w:r>
        <w:rPr>
          <w:i/>
          <w:iCs/>
          <w:spacing w:val="0"/>
          <w:w w:val="100"/>
          <w:position w:val="0"/>
          <w:shd w:val="clear" w:color="auto" w:fill="auto"/>
          <w:lang w:val="de-DE" w:eastAsia="de-DE" w:bidi="de-DE"/>
        </w:rPr>
        <w:t>de Guadiana).</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The small stream issuing from them is known as the </w:t>
      </w:r>
      <w:r>
        <w:rPr>
          <w:spacing w:val="0"/>
          <w:w w:val="100"/>
          <w:position w:val="0"/>
          <w:shd w:val="clear" w:color="auto" w:fill="auto"/>
          <w:lang w:val="de-DE" w:eastAsia="de-DE" w:bidi="de-DE"/>
        </w:rPr>
        <w:t xml:space="preserve">Guadiana </w:t>
      </w:r>
      <w:r>
        <w:rPr>
          <w:spacing w:val="0"/>
          <w:w w:val="100"/>
          <w:position w:val="0"/>
          <w:shd w:val="clear" w:color="auto" w:fill="auto"/>
          <w:lang w:val="en-US" w:eastAsia="en-US" w:bidi="en-US"/>
        </w:rPr>
        <w:t>and soon joins the Zancara. It has now been ascertained, however, that the stream</w:t>
      </w:r>
    </w:p>
    <w:p>
      <w:pPr>
        <w:pStyle w:val="Style9"/>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which disappears higher up can have no such course, but that in fact its waters flow or trickle underground to the Zancara itself, which is therefore entitled to be regarded as the upper </w:t>
      </w:r>
      <w:r>
        <w:rPr>
          <w:spacing w:val="0"/>
          <w:w w:val="100"/>
          <w:position w:val="0"/>
          <w:shd w:val="clear" w:color="auto" w:fill="auto"/>
          <w:lang w:val="de-DE" w:eastAsia="de-DE" w:bidi="de-DE"/>
        </w:rPr>
        <w:t xml:space="preserve">Guadiana. </w:t>
      </w:r>
      <w:r>
        <w:rPr>
          <w:spacing w:val="0"/>
          <w:w w:val="100"/>
          <w:position w:val="0"/>
          <w:shd w:val="clear" w:color="auto" w:fill="auto"/>
          <w:lang w:val="en-US" w:eastAsia="en-US" w:bidi="en-US"/>
        </w:rPr>
        <w:t xml:space="preserve">It has its source not far from that of the Jucar in the east of the plateau of La Mancha, and flows westwards till, under the name of the </w:t>
      </w:r>
      <w:r>
        <w:rPr>
          <w:spacing w:val="0"/>
          <w:w w:val="100"/>
          <w:position w:val="0"/>
          <w:shd w:val="clear" w:color="auto" w:fill="auto"/>
          <w:lang w:val="de-DE" w:eastAsia="de-DE" w:bidi="de-DE"/>
        </w:rPr>
        <w:t xml:space="preserve">Guadiana, </w:t>
      </w:r>
      <w:r>
        <w:rPr>
          <w:spacing w:val="0"/>
          <w:w w:val="100"/>
          <w:position w:val="0"/>
          <w:shd w:val="clear" w:color="auto" w:fill="auto"/>
          <w:lang w:val="en-US" w:eastAsia="en-US" w:bidi="en-US"/>
        </w:rPr>
        <w:t>it turns south-south-west on the Portuguese frontier. In piercing the Sierra Morena it forms a series of foam</w:t>
        <w:softHyphen/>
        <w:t>ing rapids, and it begins to be navigable only at Mertola, about 42 miles above its mouth.</w:t>
      </w:r>
    </w:p>
    <w:p>
      <w:pPr>
        <w:pStyle w:val="Style9"/>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Guadalquivir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w:t>
      </w:r>
      <w:r>
        <w:rPr>
          <w:i/>
          <w:iCs/>
          <w:spacing w:val="0"/>
          <w:w w:val="100"/>
          <w:position w:val="0"/>
          <w:shd w:val="clear" w:color="auto" w:fill="auto"/>
          <w:lang w:val="de-DE" w:eastAsia="de-DE" w:bidi="de-DE"/>
        </w:rPr>
        <w:t>W</w:t>
      </w:r>
      <w:r>
        <w:rPr>
          <w:i/>
          <w:iCs/>
          <w:spacing w:val="0"/>
          <w:w w:val="100"/>
          <w:position w:val="0"/>
          <w:shd w:val="clear" w:color="auto" w:fill="auto"/>
          <w:lang w:val="en-US" w:eastAsia="en-US" w:bidi="en-US"/>
        </w:rPr>
        <w:t>á</w:t>
      </w:r>
      <w:r>
        <w:rPr>
          <w:i/>
          <w:iCs/>
          <w:spacing w:val="0"/>
          <w:w w:val="100"/>
          <w:position w:val="0"/>
          <w:shd w:val="clear" w:color="auto" w:fill="auto"/>
          <w:lang w:val="de-DE" w:eastAsia="de-DE" w:bidi="de-DE"/>
        </w:rPr>
        <w:t>di-el-Kebir,</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“the great river,” the </w:t>
      </w:r>
      <w:r>
        <w:rPr>
          <w:i/>
          <w:iCs/>
          <w:spacing w:val="0"/>
          <w:w w:val="100"/>
          <w:position w:val="0"/>
          <w:shd w:val="clear" w:color="auto" w:fill="auto"/>
          <w:lang w:val="fr-FR" w:eastAsia="fr-FR" w:bidi="fr-FR"/>
        </w:rPr>
        <w:t>Bætis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of the ancients), though the shortest of the great rivers of the Peninsula, is the only one that at all seasons of the year is a full- bodied stream, being fed in winter by the rains, in summer by the melting of the snows on the Sierra Nevada. What is regarded as the main stream rises in the Sierra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Cazorla in the east of the province of Jaen, but it does not become a considerable river till after it is joined by the </w:t>
      </w:r>
      <w:r>
        <w:rPr>
          <w:spacing w:val="0"/>
          <w:w w:val="100"/>
          <w:position w:val="0"/>
          <w:shd w:val="clear" w:color="auto" w:fill="auto"/>
          <w:lang w:val="de-DE" w:eastAsia="de-DE" w:bidi="de-DE"/>
        </w:rPr>
        <w:t xml:space="preserve">Guadiana </w:t>
      </w:r>
      <w:r>
        <w:rPr>
          <w:spacing w:val="0"/>
          <w:w w:val="100"/>
          <w:position w:val="0"/>
          <w:shd w:val="clear" w:color="auto" w:fill="auto"/>
          <w:lang w:val="en-US" w:eastAsia="en-US" w:bidi="en-US"/>
        </w:rPr>
        <w:t>Menor (from the Sierra Nevada), on the left bank and the Guadalimar on the right. Lower down the principal tributary which it receives is the Jenil (left). In the days of the Moors the Guadalquivir was navigable for large vessels to Cordova, but, having been allowed to become silted up in the lower part of its course, it has only recently again been made navigable for vessels of 1200 tons burden to Seville.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only considerable lakes in Spain are three coast lagoons,—that of Albufera in the province of Valencia, the Mar Menor in Murcia, and the Laguna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la Janda in Cadiz behind Cape Trafalgar. Small alpine and other lakes are numerous, and small salt lakes are to be found in every steppe region.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geological structure of the Spanish Peninsula is comparatively simple. Upon a fundamental platform of ancient crystalline rocks, which had previously been upraised into detached ridges, a series of sedimentary formations was laid down, among which occur representa</w:t>
        <w:softHyphen/>
        <w:t xml:space="preserve">tives of most of the geological systems from the older </w:t>
      </w:r>
      <w:r>
        <w:rPr>
          <w:spacing w:val="0"/>
          <w:w w:val="100"/>
          <w:position w:val="0"/>
          <w:shd w:val="clear" w:color="auto" w:fill="auto"/>
          <w:lang w:val="fr-FR" w:eastAsia="fr-FR" w:bidi="fr-FR"/>
        </w:rPr>
        <w:t xml:space="preserve">Palæozoic </w:t>
      </w:r>
      <w:r>
        <w:rPr>
          <w:spacing w:val="0"/>
          <w:w w:val="100"/>
          <w:position w:val="0"/>
          <w:shd w:val="clear" w:color="auto" w:fill="auto"/>
          <w:lang w:val="en-US" w:eastAsia="en-US" w:bidi="en-US"/>
        </w:rPr>
        <w:t>rocks up to those of Quaternary date. Arranged in order of age, with their respective areas, these various groups of rock are shown in the subjoined table :—</w:t>
      </w:r>
    </w:p>
    <w:tbl>
      <w:tblPr>
        <w:tblOverlap w:val="never"/>
        <w:jc w:val="left"/>
        <w:tblLayout w:type="fixed"/>
      </w:tblPr>
      <w:tblGrid>
        <w:gridCol w:w="1411"/>
        <w:gridCol w:w="1066"/>
        <w:gridCol w:w="2081"/>
      </w:tblGrid>
      <w:tr>
        <w:trPr>
          <w:trHeight w:val="122"/>
        </w:trPr>
        <w:tc>
          <w:tcPr>
            <w:vMerge w:val="restart"/>
            <w:tcBorders>
              <w:top w:val="single" w:sz="4"/>
              <w:left w:val="single" w:sz="4"/>
            </w:tcBorders>
            <w:shd w:val="clear" w:color="auto" w:fill="FFFFFF"/>
            <w:vAlign w:val="top"/>
          </w:tcPr>
          <w:p>
            <w:pPr>
              <w:pStyle w:val="Style5"/>
              <w:keepNext w:val="0"/>
              <w:keepLines w:val="0"/>
              <w:widowControl w:val="0"/>
              <w:shd w:val="clear" w:color="auto" w:fill="auto"/>
              <w:tabs>
                <w:tab w:leader="dot" w:pos="1339" w:val="left"/>
              </w:tabs>
              <w:bidi w:val="0"/>
              <w:spacing w:line="240" w:lineRule="auto"/>
              <w:ind w:left="0" w:firstLine="0"/>
              <w:jc w:val="left"/>
              <w:rPr>
                <w:sz w:val="12"/>
                <w:szCs w:val="12"/>
              </w:rPr>
            </w:pPr>
            <w:r>
              <w:rPr>
                <w:spacing w:val="0"/>
                <w:w w:val="100"/>
                <w:position w:val="0"/>
                <w:sz w:val="12"/>
                <w:szCs w:val="12"/>
                <w:shd w:val="clear" w:color="auto" w:fill="auto"/>
                <w:lang w:val="en-US" w:eastAsia="en-US" w:bidi="en-US"/>
              </w:rPr>
              <w:t>Quaternary</w:t>
              <w:tab/>
            </w:r>
          </w:p>
          <w:p>
            <w:pPr>
              <w:pStyle w:val="Style5"/>
              <w:keepNext w:val="0"/>
              <w:keepLines w:val="0"/>
              <w:widowControl w:val="0"/>
              <w:shd w:val="clear" w:color="auto" w:fill="auto"/>
              <w:tabs>
                <w:tab w:leader="dot" w:pos="1336" w:val="left"/>
              </w:tabs>
              <w:bidi w:val="0"/>
              <w:spacing w:line="211" w:lineRule="auto"/>
              <w:ind w:left="0" w:firstLine="0"/>
              <w:jc w:val="left"/>
              <w:rPr>
                <w:sz w:val="12"/>
                <w:szCs w:val="12"/>
              </w:rPr>
            </w:pPr>
            <w:r>
              <w:rPr>
                <w:spacing w:val="0"/>
                <w:w w:val="100"/>
                <w:position w:val="0"/>
                <w:sz w:val="12"/>
                <w:szCs w:val="12"/>
                <w:shd w:val="clear" w:color="auto" w:fill="auto"/>
                <w:lang w:val="en-US" w:eastAsia="en-US" w:bidi="en-US"/>
              </w:rPr>
              <w:t>Pliocene</w:t>
              <w:tab/>
            </w:r>
          </w:p>
        </w:tc>
        <w:tc>
          <w:tcPr>
            <w:gridSpan w:val="2"/>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covering 49,477 sq. kilom., or 10·00 of whole surface</w:t>
            </w:r>
          </w:p>
        </w:tc>
      </w:tr>
      <w:tr>
        <w:trPr>
          <w:trHeight w:val="108"/>
        </w:trPr>
        <w:tc>
          <w:tcPr>
            <w:vMerge/>
            <w:tcBorders>
              <w:left w:val="single" w:sz="4"/>
            </w:tcBorders>
            <w:shd w:val="clear" w:color="auto" w:fill="FFFFFF"/>
            <w:vAlign w:val="top"/>
          </w:tcPr>
          <w:p>
            <w:pPr/>
          </w:p>
        </w:tc>
        <w:tc>
          <w:tcPr>
            <w:tcBorders/>
            <w:shd w:val="clear" w:color="auto" w:fill="FFFFFF"/>
            <w:vAlign w:val="bottom"/>
          </w:tcPr>
          <w:p>
            <w:pPr>
              <w:pStyle w:val="Style5"/>
              <w:keepNext w:val="0"/>
              <w:keepLines w:val="0"/>
              <w:widowControl w:val="0"/>
              <w:shd w:val="clear" w:color="auto" w:fill="auto"/>
              <w:tabs>
                <w:tab w:pos="593" w:val="left"/>
              </w:tabs>
              <w:bidi w:val="0"/>
              <w:spacing w:line="240" w:lineRule="auto"/>
              <w:ind w:left="0" w:firstLine="360"/>
              <w:jc w:val="left"/>
              <w:rPr>
                <w:sz w:val="12"/>
                <w:szCs w:val="12"/>
              </w:rPr>
            </w:pPr>
            <w:r>
              <w:rPr>
                <w:spacing w:val="0"/>
                <w:w w:val="100"/>
                <w:position w:val="0"/>
                <w:sz w:val="12"/>
                <w:szCs w:val="12"/>
                <w:shd w:val="clear" w:color="auto" w:fill="auto"/>
                <w:lang w:val="de-DE" w:eastAsia="de-DE" w:bidi="de-DE"/>
              </w:rPr>
              <w:t>„</w:t>
              <w:tab/>
            </w:r>
            <w:r>
              <w:rPr>
                <w:spacing w:val="0"/>
                <w:w w:val="100"/>
                <w:position w:val="0"/>
                <w:sz w:val="12"/>
                <w:szCs w:val="12"/>
                <w:shd w:val="clear" w:color="auto" w:fill="auto"/>
                <w:lang w:val="en-US" w:eastAsia="en-US" w:bidi="en-US"/>
              </w:rPr>
              <w:t>9,064</w:t>
            </w:r>
          </w:p>
        </w:tc>
        <w:tc>
          <w:tcPr>
            <w:tcBorders/>
            <w:shd w:val="clear" w:color="auto" w:fill="FFFFFF"/>
            <w:vAlign w:val="bottom"/>
          </w:tcPr>
          <w:p>
            <w:pPr>
              <w:pStyle w:val="Style5"/>
              <w:keepNext w:val="0"/>
              <w:keepLines w:val="0"/>
              <w:widowControl w:val="0"/>
              <w:shd w:val="clear" w:color="auto" w:fill="auto"/>
              <w:tabs>
                <w:tab w:pos="641" w:val="left"/>
              </w:tabs>
              <w:bidi w:val="0"/>
              <w:spacing w:line="240" w:lineRule="auto"/>
              <w:ind w:left="0" w:firstLine="360"/>
              <w:jc w:val="left"/>
              <w:rPr>
                <w:sz w:val="12"/>
                <w:szCs w:val="12"/>
              </w:rPr>
            </w:pPr>
            <w:r>
              <w:rPr>
                <w:spacing w:val="0"/>
                <w:w w:val="100"/>
                <w:position w:val="0"/>
                <w:sz w:val="12"/>
                <w:szCs w:val="12"/>
                <w:shd w:val="clear" w:color="auto" w:fill="auto"/>
                <w:lang w:val="en-US" w:eastAsia="en-US" w:bidi="en-US"/>
              </w:rPr>
              <w:t>,,</w:t>
              <w:tab/>
              <w:t>l∙80</w:t>
            </w:r>
          </w:p>
        </w:tc>
      </w:tr>
      <w:tr>
        <w:trPr>
          <w:trHeight w:val="126"/>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Miocene and oiigoccne.</w:t>
            </w:r>
          </w:p>
        </w:tc>
        <w:tc>
          <w:tcPr>
            <w:tcBorders/>
            <w:shd w:val="clear" w:color="auto" w:fill="FFFFFF"/>
            <w:vAlign w:val="bottom"/>
          </w:tcPr>
          <w:p>
            <w:pPr>
              <w:pStyle w:val="Style5"/>
              <w:keepNext w:val="0"/>
              <w:keepLines w:val="0"/>
              <w:widowControl w:val="0"/>
              <w:shd w:val="clear" w:color="auto" w:fill="auto"/>
              <w:tabs>
                <w:tab w:pos="478" w:val="left"/>
              </w:tabs>
              <w:bidi w:val="0"/>
              <w:spacing w:line="240" w:lineRule="auto"/>
              <w:ind w:left="0" w:firstLine="360"/>
              <w:jc w:val="left"/>
              <w:rPr>
                <w:sz w:val="12"/>
                <w:szCs w:val="12"/>
              </w:rPr>
            </w:pPr>
            <w:r>
              <w:rPr>
                <w:spacing w:val="0"/>
                <w:w w:val="100"/>
                <w:position w:val="0"/>
                <w:sz w:val="12"/>
                <w:szCs w:val="12"/>
                <w:shd w:val="clear" w:color="auto" w:fill="auto"/>
                <w:lang w:val="de-DE" w:eastAsia="de-DE" w:bidi="de-DE"/>
              </w:rPr>
              <w:t>„</w:t>
              <w:tab/>
            </w:r>
            <w:r>
              <w:rPr>
                <w:spacing w:val="0"/>
                <w:w w:val="100"/>
                <w:position w:val="0"/>
                <w:sz w:val="12"/>
                <w:szCs w:val="12"/>
                <w:shd w:val="clear" w:color="auto" w:fill="auto"/>
                <w:lang w:val="en-US" w:eastAsia="en-US" w:bidi="en-US"/>
              </w:rPr>
              <w:t>137,867</w:t>
            </w:r>
          </w:p>
        </w:tc>
        <w:tc>
          <w:tcPr>
            <w:tcBorders/>
            <w:shd w:val="clear" w:color="auto" w:fill="FFFFFF"/>
            <w:vAlign w:val="bottom"/>
          </w:tcPr>
          <w:p>
            <w:pPr>
              <w:pStyle w:val="Style5"/>
              <w:keepNext w:val="0"/>
              <w:keepLines w:val="0"/>
              <w:widowControl w:val="0"/>
              <w:shd w:val="clear" w:color="auto" w:fill="auto"/>
              <w:tabs>
                <w:tab w:pos="576" w:val="left"/>
                <w:tab w:pos="1415" w:val="left"/>
              </w:tabs>
              <w:bidi w:val="0"/>
              <w:spacing w:line="240" w:lineRule="auto"/>
              <w:ind w:left="0" w:firstLine="360"/>
              <w:jc w:val="left"/>
              <w:rPr>
                <w:sz w:val="12"/>
                <w:szCs w:val="12"/>
              </w:rPr>
            </w:pPr>
            <w:r>
              <w:rPr>
                <w:spacing w:val="0"/>
                <w:w w:val="100"/>
                <w:position w:val="0"/>
                <w:sz w:val="12"/>
                <w:szCs w:val="12"/>
                <w:shd w:val="clear" w:color="auto" w:fill="auto"/>
                <w:lang w:val="de-DE" w:eastAsia="de-DE" w:bidi="de-DE"/>
              </w:rPr>
              <w:t>„</w:t>
              <w:tab/>
            </w:r>
            <w:r>
              <w:rPr>
                <w:spacing w:val="0"/>
                <w:w w:val="100"/>
                <w:position w:val="0"/>
                <w:sz w:val="12"/>
                <w:szCs w:val="12"/>
                <w:shd w:val="clear" w:color="auto" w:fill="auto"/>
                <w:lang w:val="en-US" w:eastAsia="en-US" w:bidi="en-US"/>
              </w:rPr>
              <w:t>27∙85</w:t>
              <w:tab/>
              <w:t>,,</w:t>
            </w:r>
          </w:p>
        </w:tc>
      </w:tr>
      <w:tr>
        <w:trPr>
          <w:trHeight w:val="112"/>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321" w:val="left"/>
              </w:tabs>
              <w:bidi w:val="0"/>
              <w:spacing w:line="240" w:lineRule="auto"/>
              <w:ind w:left="0" w:firstLine="0"/>
              <w:jc w:val="left"/>
              <w:rPr>
                <w:sz w:val="12"/>
                <w:szCs w:val="12"/>
              </w:rPr>
            </w:pPr>
            <w:r>
              <w:rPr>
                <w:spacing w:val="0"/>
                <w:w w:val="100"/>
                <w:position w:val="0"/>
                <w:sz w:val="12"/>
                <w:szCs w:val="12"/>
                <w:shd w:val="clear" w:color="auto" w:fill="auto"/>
                <w:lang w:val="en-US" w:eastAsia="en-US" w:bidi="en-US"/>
              </w:rPr>
              <w:t>Eocene</w:t>
              <w:tab/>
            </w:r>
          </w:p>
        </w:tc>
        <w:tc>
          <w:tcPr>
            <w:tcBorders/>
            <w:shd w:val="clear" w:color="auto" w:fill="FFFFFF"/>
            <w:vAlign w:val="bottom"/>
          </w:tcPr>
          <w:p>
            <w:pPr>
              <w:pStyle w:val="Style5"/>
              <w:keepNext w:val="0"/>
              <w:keepLines w:val="0"/>
              <w:widowControl w:val="0"/>
              <w:shd w:val="clear" w:color="auto" w:fill="auto"/>
              <w:tabs>
                <w:tab w:pos="532" w:val="left"/>
              </w:tabs>
              <w:bidi w:val="0"/>
              <w:spacing w:line="240" w:lineRule="auto"/>
              <w:ind w:left="0" w:firstLine="360"/>
              <w:jc w:val="left"/>
              <w:rPr>
                <w:sz w:val="12"/>
                <w:szCs w:val="12"/>
              </w:rPr>
            </w:pPr>
            <w:r>
              <w:rPr>
                <w:spacing w:val="0"/>
                <w:w w:val="100"/>
                <w:position w:val="0"/>
                <w:sz w:val="12"/>
                <w:szCs w:val="12"/>
                <w:shd w:val="clear" w:color="auto" w:fill="auto"/>
                <w:lang w:val="de-DE" w:eastAsia="de-DE" w:bidi="de-DE"/>
              </w:rPr>
              <w:t>„</w:t>
              <w:tab/>
            </w:r>
            <w:r>
              <w:rPr>
                <w:spacing w:val="0"/>
                <w:w w:val="100"/>
                <w:position w:val="0"/>
                <w:sz w:val="12"/>
                <w:szCs w:val="12"/>
                <w:shd w:val="clear" w:color="auto" w:fill="auto"/>
                <w:lang w:val="en-US" w:eastAsia="en-US" w:bidi="en-US"/>
              </w:rPr>
              <w:t>23,564</w:t>
            </w:r>
          </w:p>
        </w:tc>
        <w:tc>
          <w:tcPr>
            <w:tcBorders/>
            <w:shd w:val="clear" w:color="auto" w:fill="FFFFFF"/>
            <w:vAlign w:val="bottom"/>
          </w:tcPr>
          <w:p>
            <w:pPr>
              <w:pStyle w:val="Style5"/>
              <w:keepNext w:val="0"/>
              <w:keepLines w:val="0"/>
              <w:widowControl w:val="0"/>
              <w:shd w:val="clear" w:color="auto" w:fill="auto"/>
              <w:tabs>
                <w:tab w:pos="630" w:val="left"/>
                <w:tab w:pos="1415" w:val="left"/>
              </w:tabs>
              <w:bidi w:val="0"/>
              <w:spacing w:line="240" w:lineRule="auto"/>
              <w:ind w:left="0" w:firstLine="360"/>
              <w:jc w:val="left"/>
              <w:rPr>
                <w:sz w:val="12"/>
                <w:szCs w:val="12"/>
              </w:rPr>
            </w:pPr>
            <w:r>
              <w:rPr>
                <w:spacing w:val="0"/>
                <w:w w:val="100"/>
                <w:position w:val="0"/>
                <w:sz w:val="12"/>
                <w:szCs w:val="12"/>
                <w:shd w:val="clear" w:color="auto" w:fill="auto"/>
                <w:lang w:val="en-US" w:eastAsia="en-US" w:bidi="en-US"/>
              </w:rPr>
              <w:t>,,</w:t>
              <w:tab/>
              <w:t>4∙80</w:t>
              <w:tab/>
              <w:t>,,</w:t>
            </w:r>
          </w:p>
        </w:tc>
      </w:tr>
      <w:tr>
        <w:trPr>
          <w:trHeight w:val="122"/>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318" w:val="left"/>
              </w:tabs>
              <w:bidi w:val="0"/>
              <w:spacing w:line="240" w:lineRule="auto"/>
              <w:ind w:left="0" w:firstLine="0"/>
              <w:jc w:val="left"/>
              <w:rPr>
                <w:sz w:val="12"/>
                <w:szCs w:val="12"/>
              </w:rPr>
            </w:pPr>
            <w:r>
              <w:rPr>
                <w:spacing w:val="0"/>
                <w:w w:val="100"/>
                <w:position w:val="0"/>
                <w:sz w:val="12"/>
                <w:szCs w:val="12"/>
                <w:shd w:val="clear" w:color="auto" w:fill="auto"/>
                <w:lang w:val="en-US" w:eastAsia="en-US" w:bidi="en-US"/>
              </w:rPr>
              <w:t>Cretaceous</w:t>
              <w:tab/>
            </w:r>
          </w:p>
        </w:tc>
        <w:tc>
          <w:tcPr>
            <w:tcBorders/>
            <w:shd w:val="clear" w:color="auto" w:fill="FFFFFF"/>
            <w:vAlign w:val="bottom"/>
          </w:tcPr>
          <w:p>
            <w:pPr>
              <w:pStyle w:val="Style5"/>
              <w:keepNext w:val="0"/>
              <w:keepLines w:val="0"/>
              <w:widowControl w:val="0"/>
              <w:shd w:val="clear" w:color="auto" w:fill="auto"/>
              <w:tabs>
                <w:tab w:pos="535" w:val="left"/>
              </w:tabs>
              <w:bidi w:val="0"/>
              <w:spacing w:line="240" w:lineRule="auto"/>
              <w:ind w:left="0" w:firstLine="360"/>
              <w:jc w:val="left"/>
              <w:rPr>
                <w:sz w:val="12"/>
                <w:szCs w:val="12"/>
              </w:rPr>
            </w:pPr>
            <w:r>
              <w:rPr>
                <w:spacing w:val="0"/>
                <w:w w:val="100"/>
                <w:position w:val="0"/>
                <w:sz w:val="12"/>
                <w:szCs w:val="12"/>
                <w:shd w:val="clear" w:color="auto" w:fill="auto"/>
                <w:lang w:val="en-US" w:eastAsia="en-US" w:bidi="en-US"/>
              </w:rPr>
              <w:t>,,</w:t>
              <w:tab/>
              <w:t>47,002</w:t>
            </w:r>
          </w:p>
        </w:tc>
        <w:tc>
          <w:tcPr>
            <w:tcBorders/>
            <w:shd w:val="clear" w:color="auto" w:fill="FFFFFF"/>
            <w:vAlign w:val="bottom"/>
          </w:tcPr>
          <w:p>
            <w:pPr>
              <w:pStyle w:val="Style5"/>
              <w:keepNext w:val="0"/>
              <w:keepLines w:val="0"/>
              <w:widowControl w:val="0"/>
              <w:shd w:val="clear" w:color="auto" w:fill="auto"/>
              <w:tabs>
                <w:tab w:pos="641" w:val="left"/>
                <w:tab w:pos="1415" w:val="left"/>
              </w:tabs>
              <w:bidi w:val="0"/>
              <w:spacing w:line="240" w:lineRule="auto"/>
              <w:ind w:left="0" w:firstLine="360"/>
              <w:jc w:val="left"/>
              <w:rPr>
                <w:sz w:val="12"/>
                <w:szCs w:val="12"/>
              </w:rPr>
            </w:pPr>
            <w:r>
              <w:rPr>
                <w:spacing w:val="0"/>
                <w:w w:val="100"/>
                <w:position w:val="0"/>
                <w:sz w:val="12"/>
                <w:szCs w:val="12"/>
                <w:shd w:val="clear" w:color="auto" w:fill="auto"/>
                <w:lang w:val="en-US" w:eastAsia="en-US" w:bidi="en-US"/>
              </w:rPr>
              <w:t>,,</w:t>
              <w:tab/>
              <w:t>9·50</w:t>
              <w:tab/>
              <w:t>,,</w:t>
            </w:r>
          </w:p>
        </w:tc>
      </w:tr>
      <w:tr>
        <w:trPr>
          <w:trHeight w:val="97"/>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321" w:val="left"/>
              </w:tabs>
              <w:bidi w:val="0"/>
              <w:spacing w:line="240" w:lineRule="auto"/>
              <w:ind w:left="0" w:firstLine="0"/>
              <w:jc w:val="left"/>
              <w:rPr>
                <w:sz w:val="12"/>
                <w:szCs w:val="12"/>
              </w:rPr>
            </w:pPr>
            <w:r>
              <w:rPr>
                <w:spacing w:val="0"/>
                <w:w w:val="100"/>
                <w:position w:val="0"/>
                <w:sz w:val="12"/>
                <w:szCs w:val="12"/>
                <w:shd w:val="clear" w:color="auto" w:fill="auto"/>
                <w:lang w:val="en-US" w:eastAsia="en-US" w:bidi="en-US"/>
              </w:rPr>
              <w:t>Jurassic</w:t>
              <w:tab/>
            </w:r>
          </w:p>
        </w:tc>
        <w:tc>
          <w:tcPr>
            <w:tcBorders/>
            <w:shd w:val="clear" w:color="auto" w:fill="FFFFFF"/>
            <w:vAlign w:val="bottom"/>
          </w:tcPr>
          <w:p>
            <w:pPr>
              <w:pStyle w:val="Style5"/>
              <w:keepNext w:val="0"/>
              <w:keepLines w:val="0"/>
              <w:widowControl w:val="0"/>
              <w:shd w:val="clear" w:color="auto" w:fill="auto"/>
              <w:tabs>
                <w:tab w:pos="539" w:val="left"/>
              </w:tabs>
              <w:bidi w:val="0"/>
              <w:spacing w:line="240" w:lineRule="auto"/>
              <w:ind w:left="0" w:firstLine="360"/>
              <w:jc w:val="left"/>
              <w:rPr>
                <w:sz w:val="12"/>
                <w:szCs w:val="12"/>
              </w:rPr>
            </w:pPr>
            <w:r>
              <w:rPr>
                <w:spacing w:val="0"/>
                <w:w w:val="100"/>
                <w:position w:val="0"/>
                <w:sz w:val="12"/>
                <w:szCs w:val="12"/>
                <w:shd w:val="clear" w:color="auto" w:fill="auto"/>
                <w:lang w:val="en-US" w:eastAsia="en-US" w:bidi="en-US"/>
              </w:rPr>
              <w:t>.,</w:t>
              <w:tab/>
              <w:t>22,697</w:t>
            </w:r>
          </w:p>
        </w:tc>
        <w:tc>
          <w:tcPr>
            <w:tcBorders/>
            <w:shd w:val="clear" w:color="auto" w:fill="FFFFFF"/>
            <w:vAlign w:val="bottom"/>
          </w:tcPr>
          <w:p>
            <w:pPr>
              <w:pStyle w:val="Style5"/>
              <w:keepNext w:val="0"/>
              <w:keepLines w:val="0"/>
              <w:widowControl w:val="0"/>
              <w:shd w:val="clear" w:color="auto" w:fill="auto"/>
              <w:tabs>
                <w:tab w:pos="515" w:val="left"/>
                <w:tab w:pos="1418" w:val="left"/>
              </w:tabs>
              <w:bidi w:val="0"/>
              <w:spacing w:line="240" w:lineRule="auto"/>
              <w:ind w:left="0" w:firstLine="360"/>
              <w:jc w:val="left"/>
              <w:rPr>
                <w:sz w:val="12"/>
                <w:szCs w:val="12"/>
              </w:rPr>
            </w:pPr>
            <w:r>
              <w:rPr>
                <w:spacing w:val="0"/>
                <w:w w:val="100"/>
                <w:position w:val="0"/>
                <w:sz w:val="12"/>
                <w:szCs w:val="12"/>
                <w:shd w:val="clear" w:color="auto" w:fill="auto"/>
                <w:lang w:val="en-US" w:eastAsia="en-US" w:bidi="en-US"/>
              </w:rPr>
              <w:t>,,</w:t>
              <w:tab/>
              <w:t xml:space="preserve">    4·45</w:t>
              <w:tab/>
              <w:t>,,</w:t>
            </w:r>
          </w:p>
        </w:tc>
      </w:tr>
      <w:tr>
        <w:trPr>
          <w:trHeight w:val="122"/>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336" w:val="left"/>
              </w:tabs>
              <w:bidi w:val="0"/>
              <w:spacing w:line="240" w:lineRule="auto"/>
              <w:ind w:left="0" w:firstLine="0"/>
              <w:jc w:val="left"/>
              <w:rPr>
                <w:sz w:val="12"/>
                <w:szCs w:val="12"/>
              </w:rPr>
            </w:pPr>
            <w:r>
              <w:rPr>
                <w:spacing w:val="0"/>
                <w:w w:val="100"/>
                <w:position w:val="0"/>
                <w:sz w:val="12"/>
                <w:szCs w:val="12"/>
                <w:shd w:val="clear" w:color="auto" w:fill="auto"/>
                <w:lang w:val="en-US" w:eastAsia="en-US" w:bidi="en-US"/>
              </w:rPr>
              <w:t>Tπassic</w:t>
              <w:tab/>
            </w:r>
          </w:p>
        </w:tc>
        <w:tc>
          <w:tcPr>
            <w:tcBorders/>
            <w:shd w:val="clear" w:color="auto" w:fill="FFFFFF"/>
            <w:vAlign w:val="bottom"/>
          </w:tcPr>
          <w:p>
            <w:pPr>
              <w:pStyle w:val="Style5"/>
              <w:keepNext w:val="0"/>
              <w:keepLines w:val="0"/>
              <w:widowControl w:val="0"/>
              <w:shd w:val="clear" w:color="auto" w:fill="auto"/>
              <w:tabs>
                <w:tab w:pos="535" w:val="left"/>
              </w:tabs>
              <w:bidi w:val="0"/>
              <w:spacing w:line="240" w:lineRule="auto"/>
              <w:ind w:left="0" w:firstLine="360"/>
              <w:jc w:val="left"/>
              <w:rPr>
                <w:sz w:val="12"/>
                <w:szCs w:val="12"/>
              </w:rPr>
            </w:pPr>
            <w:r>
              <w:rPr>
                <w:spacing w:val="0"/>
                <w:w w:val="100"/>
                <w:position w:val="0"/>
                <w:sz w:val="12"/>
                <w:szCs w:val="12"/>
                <w:shd w:val="clear" w:color="auto" w:fill="auto"/>
                <w:lang w:val="en-US" w:eastAsia="en-US" w:bidi="en-US"/>
              </w:rPr>
              <w:t>,,</w:t>
              <w:tab/>
              <w:t>22,343</w:t>
            </w:r>
          </w:p>
        </w:tc>
        <w:tc>
          <w:tcPr>
            <w:tcBorders/>
            <w:shd w:val="clear" w:color="auto" w:fill="FFFFFF"/>
            <w:vAlign w:val="bottom"/>
          </w:tcPr>
          <w:p>
            <w:pPr>
              <w:pStyle w:val="Style5"/>
              <w:keepNext w:val="0"/>
              <w:keepLines w:val="0"/>
              <w:widowControl w:val="0"/>
              <w:shd w:val="clear" w:color="auto" w:fill="auto"/>
              <w:tabs>
                <w:tab w:pos="641" w:val="left"/>
              </w:tabs>
              <w:bidi w:val="0"/>
              <w:spacing w:line="240" w:lineRule="auto"/>
              <w:ind w:left="0" w:firstLine="360"/>
              <w:jc w:val="left"/>
              <w:rPr>
                <w:sz w:val="12"/>
                <w:szCs w:val="12"/>
              </w:rPr>
            </w:pPr>
            <w:r>
              <w:rPr>
                <w:spacing w:val="0"/>
                <w:w w:val="100"/>
                <w:position w:val="0"/>
                <w:sz w:val="12"/>
                <w:szCs w:val="12"/>
                <w:shd w:val="clear" w:color="auto" w:fill="auto"/>
                <w:lang w:val="en-US" w:eastAsia="en-US" w:bidi="en-US"/>
              </w:rPr>
              <w:t>,,</w:t>
              <w:tab/>
              <w:t>4·45</w:t>
            </w:r>
          </w:p>
        </w:tc>
      </w:tr>
      <w:tr>
        <w:trPr>
          <w:trHeight w:val="140"/>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285" w:val="left"/>
              </w:tabs>
              <w:bidi w:val="0"/>
              <w:spacing w:line="240" w:lineRule="auto"/>
              <w:ind w:left="0" w:firstLine="0"/>
              <w:jc w:val="left"/>
              <w:rPr>
                <w:sz w:val="12"/>
                <w:szCs w:val="12"/>
              </w:rPr>
            </w:pPr>
            <w:r>
              <w:rPr>
                <w:spacing w:val="0"/>
                <w:w w:val="100"/>
                <w:position w:val="0"/>
                <w:sz w:val="12"/>
                <w:szCs w:val="12"/>
                <w:shd w:val="clear" w:color="auto" w:fill="auto"/>
                <w:lang w:val="en-US" w:eastAsia="en-US" w:bidi="en-US"/>
              </w:rPr>
              <w:t>Carboniferous</w:t>
              <w:tab/>
            </w:r>
          </w:p>
        </w:tc>
        <w:tc>
          <w:tcPr>
            <w:tcBorders/>
            <w:shd w:val="clear" w:color="auto" w:fill="FFFFFF"/>
            <w:vAlign w:val="bottom"/>
          </w:tcPr>
          <w:p>
            <w:pPr>
              <w:pStyle w:val="Style5"/>
              <w:keepNext w:val="0"/>
              <w:keepLines w:val="0"/>
              <w:widowControl w:val="0"/>
              <w:shd w:val="clear" w:color="auto" w:fill="auto"/>
              <w:tabs>
                <w:tab w:pos="535" w:val="left"/>
              </w:tabs>
              <w:bidi w:val="0"/>
              <w:spacing w:line="240" w:lineRule="auto"/>
              <w:ind w:left="0" w:firstLine="360"/>
              <w:jc w:val="left"/>
              <w:rPr>
                <w:sz w:val="12"/>
                <w:szCs w:val="12"/>
              </w:rPr>
            </w:pPr>
            <w:r>
              <w:rPr>
                <w:spacing w:val="0"/>
                <w:w w:val="100"/>
                <w:position w:val="0"/>
                <w:sz w:val="12"/>
                <w:szCs w:val="12"/>
                <w:shd w:val="clear" w:color="auto" w:fill="auto"/>
                <w:lang w:val="de-DE" w:eastAsia="de-DE" w:bidi="de-DE"/>
              </w:rPr>
              <w:t>„</w:t>
              <w:tab/>
            </w:r>
            <w:r>
              <w:rPr>
                <w:spacing w:val="0"/>
                <w:w w:val="100"/>
                <w:position w:val="0"/>
                <w:sz w:val="12"/>
                <w:szCs w:val="12"/>
                <w:shd w:val="clear" w:color="auto" w:fill="auto"/>
                <w:lang w:val="en-US" w:eastAsia="en-US" w:bidi="en-US"/>
              </w:rPr>
              <w:t>11,301</w:t>
            </w:r>
          </w:p>
        </w:tc>
        <w:tc>
          <w:tcPr>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spacing w:val="0"/>
                <w:w w:val="100"/>
                <w:position w:val="0"/>
                <w:sz w:val="12"/>
                <w:szCs w:val="12"/>
                <w:shd w:val="clear" w:color="auto" w:fill="auto"/>
                <w:lang w:val="de-DE" w:eastAsia="de-DE" w:bidi="de-DE"/>
              </w:rPr>
              <w:t xml:space="preserve">„ </w:t>
            </w:r>
            <w:r>
              <w:rPr>
                <w:spacing w:val="0"/>
                <w:w w:val="100"/>
                <w:position w:val="0"/>
                <w:sz w:val="12"/>
                <w:szCs w:val="12"/>
                <w:shd w:val="clear" w:color="auto" w:fill="auto"/>
                <w:lang w:val="en-US" w:eastAsia="en-US" w:bidi="en-US"/>
              </w:rPr>
              <w:t>2·22</w:t>
            </w:r>
          </w:p>
        </w:tc>
      </w:tr>
      <w:tr>
        <w:trPr>
          <w:trHeight w:val="119"/>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278" w:val="left"/>
              </w:tabs>
              <w:bidi w:val="0"/>
              <w:spacing w:line="240" w:lineRule="auto"/>
              <w:ind w:left="0" w:firstLine="0"/>
              <w:jc w:val="left"/>
              <w:rPr>
                <w:sz w:val="12"/>
                <w:szCs w:val="12"/>
              </w:rPr>
            </w:pPr>
            <w:r>
              <w:rPr>
                <w:spacing w:val="0"/>
                <w:w w:val="100"/>
                <w:position w:val="0"/>
                <w:sz w:val="12"/>
                <w:szCs w:val="12"/>
                <w:shd w:val="clear" w:color="auto" w:fill="auto"/>
                <w:lang w:val="en-US" w:eastAsia="en-US" w:bidi="en-US"/>
              </w:rPr>
              <w:t>Devonian</w:t>
              <w:tab/>
            </w:r>
          </w:p>
        </w:tc>
        <w:tc>
          <w:tcPr>
            <w:tcBorders/>
            <w:shd w:val="clear" w:color="auto" w:fill="FFFFFF"/>
            <w:vAlign w:val="bottom"/>
          </w:tcPr>
          <w:p>
            <w:pPr>
              <w:pStyle w:val="Style5"/>
              <w:keepNext w:val="0"/>
              <w:keepLines w:val="0"/>
              <w:widowControl w:val="0"/>
              <w:shd w:val="clear" w:color="auto" w:fill="auto"/>
              <w:tabs>
                <w:tab w:pos="604" w:val="left"/>
              </w:tabs>
              <w:bidi w:val="0"/>
              <w:spacing w:line="240" w:lineRule="auto"/>
              <w:ind w:left="0" w:firstLine="360"/>
              <w:jc w:val="left"/>
              <w:rPr>
                <w:sz w:val="12"/>
                <w:szCs w:val="12"/>
              </w:rPr>
            </w:pPr>
            <w:r>
              <w:rPr>
                <w:spacing w:val="0"/>
                <w:w w:val="100"/>
                <w:position w:val="0"/>
                <w:sz w:val="12"/>
                <w:szCs w:val="12"/>
                <w:shd w:val="clear" w:color="auto" w:fill="auto"/>
                <w:lang w:val="en-US" w:eastAsia="en-US" w:bidi="en-US"/>
              </w:rPr>
              <w:t>,,</w:t>
              <w:tab/>
              <w:t>5.780</w:t>
            </w:r>
          </w:p>
        </w:tc>
        <w:tc>
          <w:tcPr>
            <w:tcBorders/>
            <w:shd w:val="clear" w:color="auto" w:fill="FFFFFF"/>
            <w:vAlign w:val="bottom"/>
          </w:tcPr>
          <w:p>
            <w:pPr>
              <w:pStyle w:val="Style5"/>
              <w:keepNext w:val="0"/>
              <w:keepLines w:val="0"/>
              <w:widowControl w:val="0"/>
              <w:shd w:val="clear" w:color="auto" w:fill="auto"/>
              <w:tabs>
                <w:tab w:pos="644" w:val="left"/>
              </w:tabs>
              <w:bidi w:val="0"/>
              <w:spacing w:line="240" w:lineRule="auto"/>
              <w:ind w:left="0" w:firstLine="360"/>
              <w:jc w:val="left"/>
              <w:rPr>
                <w:sz w:val="12"/>
                <w:szCs w:val="12"/>
              </w:rPr>
            </w:pPr>
            <w:r>
              <w:rPr>
                <w:spacing w:val="0"/>
                <w:w w:val="100"/>
                <w:position w:val="0"/>
                <w:sz w:val="12"/>
                <w:szCs w:val="12"/>
                <w:shd w:val="clear" w:color="auto" w:fill="auto"/>
                <w:lang w:val="en-US" w:eastAsia="en-US" w:bidi="en-US"/>
              </w:rPr>
              <w:t>,,</w:t>
              <w:tab/>
              <w:t>l∙40</w:t>
            </w:r>
          </w:p>
        </w:tc>
      </w:tr>
      <w:tr>
        <w:trPr>
          <w:trHeight w:val="130"/>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Silurian (and Cambrian)</w:t>
            </w:r>
          </w:p>
        </w:tc>
        <w:tc>
          <w:tcPr>
            <w:tcBorders/>
            <w:shd w:val="clear" w:color="auto" w:fill="FFFFFF"/>
            <w:vAlign w:val="bottom"/>
          </w:tcPr>
          <w:p>
            <w:pPr>
              <w:pStyle w:val="Style5"/>
              <w:keepNext w:val="0"/>
              <w:keepLines w:val="0"/>
              <w:widowControl w:val="0"/>
              <w:shd w:val="clear" w:color="auto" w:fill="auto"/>
              <w:tabs>
                <w:tab w:pos="474" w:val="left"/>
              </w:tabs>
              <w:bidi w:val="0"/>
              <w:spacing w:line="240" w:lineRule="auto"/>
              <w:ind w:left="0" w:firstLine="360"/>
              <w:jc w:val="left"/>
              <w:rPr>
                <w:sz w:val="12"/>
                <w:szCs w:val="12"/>
              </w:rPr>
            </w:pPr>
            <w:r>
              <w:rPr>
                <w:spacing w:val="0"/>
                <w:w w:val="100"/>
                <w:position w:val="0"/>
                <w:sz w:val="12"/>
                <w:szCs w:val="12"/>
                <w:shd w:val="clear" w:color="auto" w:fill="auto"/>
                <w:lang w:val="de-DE" w:eastAsia="de-DE" w:bidi="de-DE"/>
              </w:rPr>
              <w:t>„</w:t>
              <w:tab/>
            </w:r>
            <w:r>
              <w:rPr>
                <w:spacing w:val="0"/>
                <w:w w:val="100"/>
                <w:position w:val="0"/>
                <w:sz w:val="12"/>
                <w:szCs w:val="12"/>
                <w:shd w:val="clear" w:color="auto" w:fill="auto"/>
                <w:lang w:val="en-US" w:eastAsia="en-US" w:bidi="en-US"/>
              </w:rPr>
              <w:t>114,382</w:t>
            </w:r>
          </w:p>
        </w:tc>
        <w:tc>
          <w:tcPr>
            <w:tcBorders/>
            <w:shd w:val="clear" w:color="auto" w:fill="FFFFFF"/>
            <w:vAlign w:val="bottom"/>
          </w:tcPr>
          <w:p>
            <w:pPr>
              <w:pStyle w:val="Style5"/>
              <w:keepNext w:val="0"/>
              <w:keepLines w:val="0"/>
              <w:widowControl w:val="0"/>
              <w:shd w:val="clear" w:color="auto" w:fill="auto"/>
              <w:tabs>
                <w:tab w:pos="587" w:val="left"/>
              </w:tabs>
              <w:bidi w:val="0"/>
              <w:spacing w:line="240" w:lineRule="auto"/>
              <w:ind w:left="0" w:firstLine="360"/>
              <w:jc w:val="left"/>
              <w:rPr>
                <w:sz w:val="12"/>
                <w:szCs w:val="12"/>
              </w:rPr>
            </w:pPr>
            <w:r>
              <w:rPr>
                <w:spacing w:val="0"/>
                <w:w w:val="100"/>
                <w:position w:val="0"/>
                <w:sz w:val="12"/>
                <w:szCs w:val="12"/>
                <w:shd w:val="clear" w:color="auto" w:fill="auto"/>
                <w:lang w:val="de-DE" w:eastAsia="de-DE" w:bidi="de-DE"/>
              </w:rPr>
              <w:t>„</w:t>
              <w:tab/>
            </w:r>
            <w:r>
              <w:rPr>
                <w:spacing w:val="0"/>
                <w:w w:val="100"/>
                <w:position w:val="0"/>
                <w:sz w:val="12"/>
                <w:szCs w:val="12"/>
                <w:shd w:val="clear" w:color="auto" w:fill="auto"/>
                <w:lang w:val="en-US" w:eastAsia="en-US" w:bidi="en-US"/>
              </w:rPr>
              <w:t>23∙18</w:t>
            </w:r>
          </w:p>
        </w:tc>
      </w:tr>
      <w:tr>
        <w:trPr>
          <w:trHeight w:val="90"/>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318" w:val="left"/>
              </w:tabs>
              <w:bidi w:val="0"/>
              <w:spacing w:line="240" w:lineRule="auto"/>
              <w:ind w:left="0" w:firstLine="0"/>
              <w:jc w:val="left"/>
              <w:rPr>
                <w:sz w:val="12"/>
                <w:szCs w:val="12"/>
              </w:rPr>
            </w:pPr>
            <w:r>
              <w:rPr>
                <w:spacing w:val="0"/>
                <w:w w:val="100"/>
                <w:position w:val="0"/>
                <w:sz w:val="12"/>
                <w:szCs w:val="12"/>
                <w:shd w:val="clear" w:color="auto" w:fill="auto"/>
                <w:lang w:val="fr-FR" w:eastAsia="fr-FR" w:bidi="fr-FR"/>
              </w:rPr>
              <w:t>Archæan</w:t>
            </w:r>
            <w:r>
              <w:rPr>
                <w:spacing w:val="0"/>
                <w:w w:val="100"/>
                <w:position w:val="0"/>
                <w:sz w:val="12"/>
                <w:szCs w:val="12"/>
                <w:shd w:val="clear" w:color="auto" w:fill="auto"/>
                <w:lang w:val="en-US" w:eastAsia="en-US" w:bidi="en-US"/>
              </w:rPr>
              <w:tab/>
            </w:r>
          </w:p>
        </w:tc>
        <w:tc>
          <w:tcPr>
            <w:vMerge w:val="restart"/>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     49,665</w:t>
            </w:r>
          </w:p>
        </w:tc>
        <w:tc>
          <w:tcPr>
            <w:tcBorders/>
            <w:shd w:val="clear" w:color="auto" w:fill="FFFFFF"/>
            <w:vAlign w:val="bottom"/>
          </w:tcPr>
          <w:p>
            <w:pPr>
              <w:pStyle w:val="Style5"/>
              <w:keepNext w:val="0"/>
              <w:keepLines w:val="0"/>
              <w:widowControl w:val="0"/>
              <w:shd w:val="clear" w:color="auto" w:fill="auto"/>
              <w:tabs>
                <w:tab w:pos="641" w:val="left"/>
              </w:tabs>
              <w:bidi w:val="0"/>
              <w:spacing w:line="240" w:lineRule="auto"/>
              <w:ind w:left="0" w:firstLine="360"/>
              <w:jc w:val="left"/>
              <w:rPr>
                <w:sz w:val="12"/>
                <w:szCs w:val="12"/>
              </w:rPr>
            </w:pPr>
            <w:r>
              <w:rPr>
                <w:spacing w:val="0"/>
                <w:w w:val="100"/>
                <w:position w:val="0"/>
                <w:sz w:val="12"/>
                <w:szCs w:val="12"/>
                <w:shd w:val="clear" w:color="auto" w:fill="auto"/>
                <w:lang w:val="de-DE" w:eastAsia="de-DE" w:bidi="de-DE"/>
              </w:rPr>
              <w:t>„</w:t>
              <w:tab/>
            </w:r>
            <w:r>
              <w:rPr>
                <w:spacing w:val="0"/>
                <w:w w:val="100"/>
                <w:position w:val="0"/>
                <w:sz w:val="12"/>
                <w:szCs w:val="12"/>
                <w:shd w:val="clear" w:color="auto" w:fill="auto"/>
                <w:lang w:val="en-US" w:eastAsia="en-US" w:bidi="en-US"/>
              </w:rPr>
              <w:t>0∙35</w:t>
            </w:r>
          </w:p>
        </w:tc>
      </w:tr>
      <w:tr>
        <w:trPr>
          <w:trHeight w:val="302"/>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Eruptive rocks of various ages</w:t>
            </w:r>
          </w:p>
        </w:tc>
        <w:tc>
          <w:tcPr>
            <w:vMerge/>
            <w:tcBorders/>
            <w:shd w:val="clear" w:color="auto" w:fill="FFFFFF"/>
            <w:vAlign w:val="top"/>
          </w:tcPr>
          <w:p>
            <w:pPr/>
          </w:p>
        </w:tc>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        10·00             ,,</w:t>
            </w:r>
          </w:p>
        </w:tc>
      </w:tr>
    </w:tbl>
    <w:p>
      <w:pPr>
        <w:pStyle w:val="Style9"/>
        <w:keepNext w:val="0"/>
        <w:keepLines w:val="0"/>
        <w:widowControl w:val="0"/>
        <w:shd w:val="clear" w:color="auto" w:fill="auto"/>
        <w:bidi w:val="0"/>
        <w:ind w:left="0" w:firstLine="360"/>
        <w:jc w:val="left"/>
      </w:pPr>
      <w:r>
        <w:rPr>
          <w:spacing w:val="0"/>
          <w:w w:val="100"/>
          <w:position w:val="0"/>
          <w:shd w:val="clear" w:color="auto" w:fill="auto"/>
          <w:lang w:val="fr-FR" w:eastAsia="fr-FR" w:bidi="fr-FR"/>
        </w:rPr>
        <w:t xml:space="preserve">Archæan </w:t>
      </w:r>
      <w:r>
        <w:rPr>
          <w:spacing w:val="0"/>
          <w:w w:val="100"/>
          <w:position w:val="0"/>
          <w:shd w:val="clear" w:color="auto" w:fill="auto"/>
          <w:lang w:val="en-US" w:eastAsia="en-US" w:bidi="en-US"/>
        </w:rPr>
        <w:t xml:space="preserve">rocks are exposed in the northern half of the Peninsula, particularly along the great Pyrenean axis, in Galicia, </w:t>
      </w:r>
      <w:r>
        <w:rPr>
          <w:spacing w:val="0"/>
          <w:w w:val="100"/>
          <w:position w:val="0"/>
          <w:shd w:val="clear" w:color="auto" w:fill="auto"/>
          <w:lang w:val="de-DE" w:eastAsia="de-DE" w:bidi="de-DE"/>
        </w:rPr>
        <w:t xml:space="preserve">Estremadura, </w:t>
      </w:r>
      <w:r>
        <w:rPr>
          <w:spacing w:val="0"/>
          <w:w w:val="100"/>
          <w:position w:val="0"/>
          <w:shd w:val="clear" w:color="auto" w:fill="auto"/>
          <w:lang w:val="en-US" w:eastAsia="en-US" w:bidi="en-US"/>
        </w:rPr>
        <w:t xml:space="preserve">the Sierra Morena, the Sierra Nevada, and Serrania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 xml:space="preserve">Ronda. They consist of granites, gneisses, and mica-schists, with talc-schists, amphibolites, and crystalline limestones. The oldest </w:t>
      </w:r>
      <w:r>
        <w:rPr>
          <w:spacing w:val="0"/>
          <w:w w:val="100"/>
          <w:position w:val="0"/>
          <w:shd w:val="clear" w:color="auto" w:fill="auto"/>
          <w:lang w:val="fr-FR" w:eastAsia="fr-FR" w:bidi="fr-FR"/>
        </w:rPr>
        <w:t xml:space="preserve">Palæozoic </w:t>
      </w:r>
      <w:r>
        <w:rPr>
          <w:spacing w:val="0"/>
          <w:w w:val="100"/>
          <w:position w:val="0"/>
          <w:shd w:val="clear" w:color="auto" w:fill="auto"/>
          <w:lang w:val="en-US" w:eastAsia="en-US" w:bidi="en-US"/>
        </w:rPr>
        <w:t xml:space="preserve">strata are referred, from their included fossils, to the Cambrian and Silurian divisions. They range through a vast region of Andalusia, </w:t>
      </w:r>
      <w:r>
        <w:rPr>
          <w:spacing w:val="0"/>
          <w:w w:val="100"/>
          <w:position w:val="0"/>
          <w:shd w:val="clear" w:color="auto" w:fill="auto"/>
          <w:lang w:val="de-DE" w:eastAsia="de-DE" w:bidi="de-DE"/>
        </w:rPr>
        <w:t xml:space="preserve">Estremadura, </w:t>
      </w:r>
      <w:r>
        <w:rPr>
          <w:spacing w:val="0"/>
          <w:w w:val="100"/>
          <w:position w:val="0"/>
          <w:shd w:val="clear" w:color="auto" w:fill="auto"/>
          <w:lang w:val="en-US" w:eastAsia="en-US" w:bidi="en-US"/>
        </w:rPr>
        <w:t xml:space="preserve">Castile, Salamanca, Leon, and Asturias, and along the flanks of the Pyrenean and Cantabrian chain. They consist of slates, greywackes, quartzites, and diabases. Grits, quartzites, and shales referable to the Devonian system occur in a few scattered areas, the largest and most </w:t>
      </w:r>
      <w:r>
        <w:rPr>
          <w:spacing w:val="0"/>
          <w:w w:val="100"/>
          <w:position w:val="0"/>
          <w:shd w:val="clear" w:color="auto" w:fill="auto"/>
          <w:lang w:val="la-001" w:eastAsia="la-001" w:bidi="la-001"/>
        </w:rPr>
        <w:t xml:space="preserve">fossiliferous </w:t>
      </w:r>
      <w:r>
        <w:rPr>
          <w:spacing w:val="0"/>
          <w:w w:val="100"/>
          <w:position w:val="0"/>
          <w:shd w:val="clear" w:color="auto" w:fill="auto"/>
          <w:lang w:val="en-US" w:eastAsia="en-US" w:bidi="en-US"/>
        </w:rPr>
        <w:t xml:space="preserve">of these occurring in the Asturias. The Carboniferous rocks of Spain are divisible into three groups, the lowest consisting of limestones with sandstones and shales, the middle of conglomerates and sandstones, and the upper of sandstones, conglomerates, shales, and coals. They lie in detached basins, and have not yet been well explored. One of these areas covers a considerable space in the Asturias, whence it stretches more or less continuously through the provinces of Leon, Palencia, and Santander, covering altogether an area of 6500 square kilometres. Another tract occurs at San Juan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 xml:space="preserve">las Abadesas in Catalonia, where it occupies about 200 square kilometres ; while a third, about 500 square kilometres in extent, runs from the province of Cordova into that of </w:t>
      </w:r>
      <w:r>
        <w:rPr>
          <w:spacing w:val="0"/>
          <w:w w:val="100"/>
          <w:position w:val="0"/>
          <w:shd w:val="clear" w:color="auto" w:fill="auto"/>
          <w:lang w:val="de-DE" w:eastAsia="de-DE" w:bidi="de-DE"/>
        </w:rPr>
        <w:t xml:space="preserve">Badajoz. </w:t>
      </w:r>
      <w:r>
        <w:rPr>
          <w:spacing w:val="0"/>
          <w:w w:val="100"/>
          <w:position w:val="0"/>
          <w:shd w:val="clear" w:color="auto" w:fill="auto"/>
          <w:lang w:val="en-US" w:eastAsia="en-US" w:bidi="en-US"/>
        </w:rPr>
        <w:t>There are other smaller areas containing little or no coal, but showing by the included plant-remains that the strata undoubtedly belong to the Carboniferous system.</w:t>
      </w:r>
    </w:p>
    <w:p>
      <w:pPr>
        <w:pStyle w:val="Style9"/>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Triassic system is well developed in the north of the Peninsula along the Cantabrian chain and eastwards to the Mediterranean. It is composed of red and variegated sandstones, dolomites, and marls, traversed in some places by ophitic rocks, and containing deposits of gypsum, aragonite, and rock-salt. These strata are overlain by members of the Jurassic series, which are especially conspicuous in the eastern part of the Peninsula</w:t>
      </w:r>
    </w:p>
    <w:sectPr>
      <w:footnotePr>
        <w:pos w:val="pageBottom"/>
        <w:numFmt w:val="decimal"/>
        <w:numRestart w:val="continuous"/>
      </w:footnotePr>
      <w:pgSz w:w="12240" w:h="16840"/>
      <w:pgMar w:top="1787" w:left="1408" w:right="1417" w:bottom="13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6">
    <w:name w:val="Other (2)_"/>
    <w:basedOn w:val="DefaultParagraphFont"/>
    <w:link w:val="Style5"/>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10">
    <w:name w:val="Body text (5)_"/>
    <w:basedOn w:val="DefaultParagraphFont"/>
    <w:link w:val="Style9"/>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5">
    <w:name w:val="Other (2)"/>
    <w:basedOn w:val="Normal"/>
    <w:link w:val="CharStyle6"/>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9">
    <w:name w:val="Body text (5)"/>
    <w:basedOn w:val="Normal"/>
    <w:link w:val="CharStyle10"/>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