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very early period,—earlier doubtless than the oldest exist</w:t>
        <w:softHyphen/>
        <w:t>ing monuments of those languages,—a labio-palatal pro</w:t>
        <w:softHyphen/>
        <w:t>nunciation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ü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). It is not to be supposed that the separa</w:t>
        <w:softHyphen/>
        <w:t xml:space="preserve">tion of Catalan from the Gallo-Roman family should have occurred before the transformation had taken place ; there is good reason to believe that Catalan possessed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ü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at one time, but afterwards lost it in its contact with the Spanish dialects. The question, however, is one for further examination.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Catalan being a variety of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langue Toc,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will be convenient to note the peculiarities of its phonetic and inflexion as compared with ordinary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Provençal.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Tonic Vowels.—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regard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pronounced alike in open and close syllables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(amar,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amare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abre,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arbor), there is nothing to remark. The Latin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ē,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treated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ĭ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sometimes close, sometimes open. On this point Catalan is more hesitating than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Provençal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it does not distinguish so clearly the pronunciation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according to its origin ; while 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ĭ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capable of yielding an open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often pronounced close, and the poets have no difficulty in making words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close and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open rhyme together, which is not the case 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Provençal.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Latin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ĕ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never yields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Catalan as it does in French and occasionally 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Pro</w:t>
        <w:softHyphen/>
        <w:t xml:space="preserve">vençal;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sedet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becomes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seu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(where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represents the final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d),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pedem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makes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peu,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ego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eu∙,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some words where the tonic ĕ is followed by a syllable in which 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occurs, it may become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 (ir,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mig,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ĕ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dius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mils,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melius) ; and the same holds good for ē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similar situation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(ciri,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rius,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reus;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fira,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ria),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 close syllable before a nasal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(eximpli,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exemplum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mintré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menitiré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gint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gent). 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tonic long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short, when in hiatus with another vowel, produce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 (amich,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amicus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via,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via).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tonic long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short are represented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close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open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(amor,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amorem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poble,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populus).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short is never diphthongized into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such a treatment is as foreign to Catalan as the diphthongization of 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ie.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Just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before a syllable in which 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occurs is changed into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 in the same circumstances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becomes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ze (full,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folium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vull,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volio for voleo) and also when the accented vowel precedes a group of consonants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cl, pl,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(ull,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oc’lus;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escull,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scop’lus). Latin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persists with the Latin pronunciation, and, as already said, does not take the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Franco-Provençal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pronunciation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Latin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au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becomes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 (cosa,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causa;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aurum);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Old-Catalan has kept the diphthong better, but possibly we should attribute the examples of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au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are met with in texts of the 13th and 14th centuries to the literary influence of Provence. Latin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tends to become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o (cor,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quare).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Atonie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Vowels.—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for the Latin post-tonic vowels already spoken of, it remains to be noted that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often represented in writing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especially before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in old Catalan, the substantives, adjectives, and participles readily form their singular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their plural in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es: arma, armes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(anima, animas);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bona, bones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(bona, bonas);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amada, amades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(amata, amatas).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e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neither open nor close, but a surd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pronunciation of which comes very near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same way the supporting vowel, which is regularly 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Catalan, is often written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especially after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(abra,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arborem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astra,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astrum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para,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patrem)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one may say that in the actual state of the language post-tonic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become indistinguishable in a surd sound inter</w:t>
        <w:softHyphen/>
        <w:t xml:space="preserve">mediate between the French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mute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Before the tonic the same change between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constantly takes place ; one finds in manuscripts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enar, emor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anar, amor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(the same manner of writing extends even to the case of the tonic syllable,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tantum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sanctum being far from rare), and, on the other hand,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antre,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arrar,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entre,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errar. 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atonic is often represented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even when it is long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(vehi,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vicinus).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atonic close, which in genuine Catalan exists only before the tonic, has become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at the present day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truvar, cuntradir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real pronunciation of the words spelt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troνar, contradir,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in the final syllables, verbal or other, where under Castilian influence 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come to be added to the normal Catalan form, this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the value of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 : trovo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(genuine Catalan,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trop)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pronounced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trovu ; bravo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(genuine Catalan,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brau)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pronounced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bravu. 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atonic keeps its ground.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only strong diphthongs of the spoken language are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á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(rather rare),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ė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i, éu,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íu, ói, ó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ú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i, uu. Ai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produced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+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a palatal consonant has for the greater part of the time become 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modem language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factum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yielded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fait,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feit,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fet,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last being the actual form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arius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given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alongside of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aire,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ari,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are learned or semi-learned forms. Of the two weak diphthongs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ió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uá,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latter, as has been seen, tends to become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close in the atonic syllable, and is pronounced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 :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quaranta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has become 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oranta,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curanta.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the tonic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often becomes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Catalan of the mainland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(ayga,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aqua,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llenga,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lingua), while in Majorca it becomes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 (aygo, llengo).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Consonants.—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readily disappears after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 (tan,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tantum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aman, venin,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partin,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amant, venint,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mol,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multum;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ocul,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ocultum) 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reappears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composition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before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vowel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(fon,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fontem,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Font-alba).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the other hand,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without etymo</w:t>
        <w:softHyphen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logical origin is frequently added to words ending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 (cart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quare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; mart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mar, mare ; amart, ohirt,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infinitive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amar, ohir),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even to some words terminating in a vowel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(genit,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ingenium;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premit,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premium), or the addition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taken place by assimilation to past participles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phenomenon occurs also 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Provençal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(see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Romania,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vii. 107, viii. 110). Median intervocal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represented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(z)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first stage of the language, has dis</w:t>
        <w:softHyphen/>
        <w:t xml:space="preserve">appeared :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fidelis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fesel,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feel,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finally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fel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videtis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became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vezets,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veels, vets,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veu.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Final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after· a vowel has produced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u (peu,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pedem;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iu,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nidum;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mou,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modum);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consequence of the disappearance of the preceding vowel, rests upon a consonant, it remains and passes into the correspond</w:t>
        <w:softHyphen/>
        <w:t xml:space="preserve">ing surd :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frigidus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fred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(pronounced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fret).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group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produced by the disappearance of the intermediate vowel, becomes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ur (creure,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credere;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ociure,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occidere;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vid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sed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originally it stood between two vowels, falls away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(bo,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bonum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vi,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vinum),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not when it answers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(thus donum makes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do,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domnum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don;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sonum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makes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somnum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son). 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reduced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(demanar, comanar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demandar, comandar).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Assibilated c before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treated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within a word it disappears after having been represented for a while by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(lucere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llusir, lluhir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recipere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rezebre, reebre, rebre)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at the end of a word it is replaced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 (veu,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vicem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feu,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fecit). The group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c’r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just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Ir (jaure,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jac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zιazere,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noc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ĕ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placere;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facere, dicere, ducere,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make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far (fer),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dir, dur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Initial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l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has been preserved only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certain monosyllables (the article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los)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everywhere else it has been replaced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mouillée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(Prov.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lh),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in the present ortho</w:t>
        <w:softHyphen/>
        <w:t xml:space="preserve">graphy is written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in Castilian, but formerly used to be repre</w:t>
        <w:softHyphen/>
        <w:t xml:space="preserve">sented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yl (lletra,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litera;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llengua,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lingua).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readily disappears after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 (cam,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campum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terns,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tempus).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replaced by the surd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the end of a word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(trobar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in</w:t>
        <w:softHyphen/>
        <w:t xml:space="preserve">finitive, but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trop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present tense) ; so also in the interior of a word when it precedes a consonant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(supvenir,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subvenire,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sopte,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sub’to). Median intervocalic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 (Esetve,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Stephanus);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has disappeared from profundus, which yielded the form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preon,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pregon (g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introduced to obviate the hiatus).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</w:t>
        <w:softHyphen/>
        <w:t xml:space="preserve">ever it has been preserved, has the same pronunciation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at the end of a word and between vowels it becomes vocalized into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 (suau,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suavis;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viure,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vivere).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guttural, written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before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keeps its ground as a central and as a final letter ; in the latter position it is generally written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 (aznich,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amicum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joch,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jocum).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guttural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replaced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a final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letter by surd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(longa,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lonc ; trigar,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trich). Tj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a consonant gives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ss (cassar,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captiare) ; between vowels, after having been represented by soft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it has disappeared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(rationem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gave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raz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ó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raysó,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rahó)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at the end of every word it behaves like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is to say, changes into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(preu,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pretium);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instead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second person plural of the verb —at(i)s, et(i)s, it(i)s—now has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au, eu,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having had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ats, ets, its. Dj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gives ǵ between vowels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(verger,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viridiarum), and ć as a terminal (written either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tx: goig,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gaudium,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mig, mitx,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medium).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before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well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anti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yield the sound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represented in Catalan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 (angoxa,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angustia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coneixer,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cognoscere;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dix,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dixit;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mateix,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metipse).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almost everywhere has taken the sound of the French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(jutge,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mouillée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present orthography: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fill,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filium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consell,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</w:t>
        <w:softHyphen/>
        <w:t xml:space="preserve">silium;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nzell,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nullum). In the larger portion of the Catalan domain this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mouillée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has become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y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almost everywhere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fiy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pro</w:t>
        <w:softHyphen/>
        <w:t xml:space="preserve">nounced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fill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consey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consell. Nj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mouillée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both old and modern spelling: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senyor,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seniorem;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annum). Sometimes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becomes reduced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one occasionally meets in manuscripts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seyor, ay,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senyor, any,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this pronunciation has not become general, as has been the case with the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y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having its origin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Lingual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the end of a word has a tendency to dis</w:t>
        <w:softHyphen/>
        <w:t xml:space="preserve">appear when preceded by a vowel : thus the infinitives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amare, temere,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*legire are pronounced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amá,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temé,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llegi.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never pre</w:t>
        <w:softHyphen/>
        <w:t xml:space="preserve">served except when protected by the non-etymological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already spoken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(llegirt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llegí,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never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llegir)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reappears, never</w:t>
        <w:softHyphen/>
        <w:t xml:space="preserve">theless, whenever the infinitive is followed by a pronoun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(donarme,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dirho). 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reduced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 (cos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cors,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corpus).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merely an orthographic sign ; it is used to indicate that two consecutive vowels do not form a diphthong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(vehi, raho),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and, added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denotes the pronunciation of the guttural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the end of a word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(amich).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Inflexion.—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Catalan, unlike Old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Provençal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Old French, has never had declensions. It is true that in certain texts (especially metrical texts) certain traces of case-endings are to be met with, as for example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Dezes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Deze, amors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amor, clars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clar, forts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tuyt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tots, abduy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abdos,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senyer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senyor, emperaire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emperador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but, since these forms are used convertibly, the nominative form when the word is in the objective, and the accusative form when the word is the subject, we can only recog</w:t>
        <w:softHyphen/>
        <w:t xml:space="preserve">nize in these cases a confused recollection of the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Provençal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rules known only to the literate but of which the transcribers of manu</w:t>
        <w:softHyphen/>
        <w:t>scripts took no account. Catalan, then, makes no distinctions save in the gender and the number of its nouns. As regards the forma</w:t>
        <w:softHyphen/>
        <w:t xml:space="preserve">tion of the plural only two observations are necessary. (1) Words which have their radical termination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which in the singular</w:t>
      </w:r>
    </w:p>
    <w:sectPr>
      <w:footnotePr>
        <w:pos w:val="pageBottom"/>
        <w:numFmt w:val="decimal"/>
        <w:numRestart w:val="continuous"/>
      </w:footnotePr>
      <w:pgSz w:w="12240" w:h="16840"/>
      <w:pgMar w:top="1291" w:left="1414" w:right="1405" w:bottom="175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  <w:style w:type="character" w:customStyle="1" w:styleId="CharStyle6">
    <w:name w:val="Body text (5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6"/>
      <w:szCs w:val="16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23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  <w:style w:type="paragraph" w:customStyle="1" w:styleId="Style5">
    <w:name w:val="Body text (5)"/>
    <w:basedOn w:val="Normal"/>
    <w:link w:val="CharStyle6"/>
    <w:pPr>
      <w:widowControl w:val="0"/>
      <w:shd w:val="clear" w:color="auto" w:fill="FFFFFF"/>
      <w:spacing w:line="202" w:lineRule="auto"/>
      <w:ind w:firstLine="22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