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in 1859 by the creation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jochs florals,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which prizes are given to the best competitors in poetry, of whom some succeed in obtaining the diploma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mestre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gay saber.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of course impossible to foresee the future of this new Catalan literature,—whether it is indeed destined for that brilliant career which the Catalans them</w:t>
        <w:softHyphen/>
        <w:t xml:space="preserve">selves anticipate. In spite of the unquestionable talent of poets like Mariano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Aguil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ó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(Majorca), Teodoro Llorente (Valencia), and, among the younger of them, Jacinto Verdaguer (Catalonia), author of an epic poem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Λtlantída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of very fascinating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Cants Mistichs,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by no means certain that this generation will be succeeded by another to follow in its footsteps, or that such a restoration of a provincial literature has much chance of permanence at the very moment when all the peoples of Europe are tend</w:t>
        <w:softHyphen/>
        <w:t>ing rather towards unity and centralization in the matter of language. At all events, in order to secure even a comparative success for such a revival, it would be well if the language serving as its instrument were some</w:t>
        <w:softHyphen/>
        <w:t>what more fixed, and if its writers would no longer hesitate, as they at present do, between a pretentious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archaism and the incorrectness of the most vulgar col</w:t>
        <w:softHyphen/>
        <w:t>loquialism. The few attempts of modern Catalans in the direction of romance writing and dramatic composition have not hitherto been particularly felicitous, and have not led to anything noteworthy.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704" w:val="left"/>
        </w:tabs>
        <w:bidi w:val="0"/>
        <w:ind w:left="0" w:firstLine="360"/>
        <w:jc w:val="left"/>
        <w:sectPr>
          <w:footnotePr>
            <w:pos w:val="pageBottom"/>
            <w:numFmt w:val="decimal"/>
            <w:numRestart w:val="continuous"/>
          </w:footnotePr>
          <w:pgSz w:w="12240" w:h="16840"/>
          <w:pgMar w:top="1256" w:left="1391" w:right="1416" w:bottom="1809" w:header="0" w:footer="3" w:gutter="0"/>
          <w:cols w:space="720"/>
          <w:noEndnote/>
          <w:rtlGutter w:val="0"/>
          <w:docGrid w:linePitch="360"/>
        </w:sectPr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Bibliography.—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José Rodriguez,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Biblioteca Valentina,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vol. fol., Valencia, 1747 ; Ximeno,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Escritores del Reyno de Valencia,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fol., Valencia, 1747-49; Fuster,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Biblioteca Valendana, 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fol., Valencia, 1827-30 ; Torres Amat,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Μemοrias para ayudar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ά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fοrmar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Diccionario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Critico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los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Escritores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Catalanes,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Barcelona, 1836; supplement by J. Corminas, Burgos, 1849;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Cambouliu,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Essai sur l'Histoire de la Littérature Catalane,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Paris,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1858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A.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Hel</w:t>
        <w:softHyphen/>
        <w:t xml:space="preserve">ferrich,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Raymond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Lull und die Anfänge der Catalonischen Literatur,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Berlin,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1858 (compare on the last two works the article by Ad. Ebert in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Jahrb. f.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romanische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englische Literatur,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241) ; Manual Mila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Fontanals,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los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Trovadores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Espana,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Barcelona, 1861; Id., “Catalanische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Dichter”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(14th and 15th centuries),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Jahrb.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rom.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Lit.,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V.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137; Id., “Resenya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Historica Critica dels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Antichs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Poetas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Catalans,” in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Jochs Florals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Barcelona for 1865; Id., various articles in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Revue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des Langues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Romanes·,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Meyer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Romania, passim·,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Morel-Fatio,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modern period see Joaquin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Rubi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ó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y Ors,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Breve Reseña del Actual Rcnaci</w:t>
        <w:softHyphen/>
        <w:t xml:space="preserve">miento de la Lengua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Literatura Catalanas,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Barcelona, 1877, and Tubino,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Historia del Rcnacimiento Literario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Contemporaneo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Cataluña,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Baleares,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Valencia,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Madrid,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1879.</w:t>
        <w:tab/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(A.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-F.)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fr-FR" w:eastAsia="fr-FR" w:bidi="fr-FR"/>
        </w:rPr>
        <w:t>Index.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'Abdallah,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312.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'Abd al-Ra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ḥ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á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(Abde</w:t>
        <w:softHyphen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rame) I.-III., 310-313. Academia Española, 360.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Administration,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303.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Agriculture,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298. Alberoni, 337.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Aleman, 357.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Alfonso I.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-II.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(Aragon),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316.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Alfonso III., 322.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Alfonso IV., 323.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Alfonso V., 324.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Alfonso VI.-VIII. (Cas</w:t>
        <w:softHyphen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tile), 316.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Alfonso X., 318, 354. Alfonso XI., 319.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Alfonso I.-III. (Leon),311. Alfonso XII. (Spain), 346. Al-IIakam I., 310. Al-Hakam II., 313. Almansor, 314. Almohades, 316. Almoravids, 316.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Alvaro de Luna, 321. Amadeus of Aosta, 346. 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Amadis 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fr-FR" w:eastAsia="fr-FR" w:bidi="fr-FR"/>
        </w:rPr>
        <w:t>de. Gaula,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355. American possessions,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327, 340.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Amirids, 314.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Andalusian dialect, 351. Animals, 297.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Arab rule, 309.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Aragon, 312, 315, 317,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322-325.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Area, 293, 297.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Aribau, 364.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Army, 803.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Asturian dialect, 350. Baena, 355.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Balearic Islands, 323. Ballot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Torres, 364. Barcelona county, 311. Berbers, 310.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Berceo, 353.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Bermudo I.-III. (Leon),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311, 312.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Boscan, 357, 363.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Breton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de los Herreros,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361.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Calderon, 359. Cancioneros, 355.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Carlist War, 346.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Carlos, Don, 345.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Carlos, Don (king of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Naples), 338. Carthaginian rule, 305. Castile, 312, 315, 318-322. Castile and Leon, 317. Castilian language, 349. Castilian literature, 353. Castillejo, 357.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Castro, 358.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Catalan language, 347. Catalan literature, 362. Catalonia, 325.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Cattle, 300.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Celtiberi,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305.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Cervantes, 356, 357, 358. Charles I., 328.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Charles II., 333.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Charles III., 340.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Charles IV., 342.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Charles of Viana, 324. Chivalry, books of, 354. Christianity, early, 311. Christina, 345.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Chronicles, 354, 363. Church, 303.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Cid, 316, 353.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Climate, 296.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Colonies, 298, 327. Columbus, 327. Commerce, 302. Communes, rising of, 328. Crusaders, 316. D’Aranda, 341.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Don Quixote,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358.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Drama, Castilian, 356, 358. Education, 303.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Elizabeth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Farnese,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337. England, interventions of,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336, 338, 344.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Espartero, 346.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Espinel, 358.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Espronceda, 361. Eximeniz, 364.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Exports, 302.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Family compact, 339, 342. Fauna, 297.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Ferdinand I. (Aragon),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</w:pPr>
      <w:r>
        <w:rPr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324.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Ferdinand I. (Castile),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315.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Ferdinand III., 317. Ferdinand IV., 319, 354. Ferdinand V. and Isa</w:t>
        <w:softHyphen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bella, 325.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Ferdinand VI. (Spain), 339. Ferdinand VII., 345. Feyjoo, 360.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Finance, 304.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Fisheries, 300.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Flora, 296.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Florida Blanca, 340. Forests, 297.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Franks, 307.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French invasion, 344. Fruit, 300.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Galician dialect, 352. Game, 297.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Garcia, Vicens, 364. Geology, 295.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Germany, relations with,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Godoy, 342.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Góngora, 357.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Gonzales, 361.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Gothic rule, 308. Government, 303.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Gracian, 360.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Granada, 318.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Guzman, Perez de, 354. Hammudite dynasty, 315. Hapsburg line, 327, 334. Harbours, 293.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Henry II. (Castile), 320. Henry III.-IV., 321. Henry of Trastamara, 320. Hermandad, 326. Herrera, 357.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Hisham II., 314.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Hispania,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304.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Historical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works,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359,363. History, 304.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Hita, Perez de, 358, Imports, 302.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Inquisition, 329, 345. Isabella I., 325.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Isabella IL, 345, 346. Italian possessions, 327,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James I. (Aragon), 317,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James II., 323.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Jenkins’s ear, war of, 339. Jesuits expelled, 341;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restored, 345.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Jews, 308 ; expelled, 326. Joanna Henriquez, 324. Joanna Ia Beltraneja,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Joanna of Castile, 327. John L (Aragon), 323. John II., 324.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JohnL-II. (Castile), 321. John, Don, of Austria,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Joseph Bonaparte, 344. Junta, Holy, 328.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Justice, 304.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Lakes, 295.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Language, 346.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Larra, 361.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Law, 304.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Leon, 311.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Leon and Castile, 317. Leonese dialect, 351. Letter writers, 359. Literature, 352.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Live stock, 300.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Lope de Vega, 357, 358. Lopez de Ayala, 353. Lopez de Ubeda, 357. Louis XIV. of France,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Lucas of Tuy, 354.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Luis de Leon, 357, 360. Lully, 363.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Luzan, 360.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Manuel, Juan, 354. Manufactures, 301. March, Auzias, 363. Maria Anna, 332.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Maria Louisa, 342.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Maria Theresa of Austria,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Mariana, 359.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Martin of Aragon, 323. Martinez de Toledo, 355. Martorell, 364.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Mayans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Siscar, 360. Mendoza, 357, 359.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Mesta, La, 334.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Methuen treaty, 336. Minerals, 300. Mohammed, 312, 314. Mohammedan rule, 309. Molina, Maria de, 319. Montalvo, 355. Montemayor, 357.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Moors, 310 ; expelled,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Moratin, 361.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Moriscoes, 330. Mountains, 294.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Muntaner, 363.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Musa, 312.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Naharro, 356.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Naples acquired, 327. Napoleon I., relations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with, 343.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Navarre, 312, 324, 325. Navarrese-Aragonese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dialect, 351. Navigation, 302.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Navy, 303.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Netherlands, relations with, 328, 332.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Nimeguen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treaty, 333. O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livares,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331. Omayyads, 310. O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rdo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ñ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I.-III., 311. Oviedo, 311.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Padilla, Juan de, 328. Padilla, Maria de, 320. Papacy, relations with,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315.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Patiño, 338.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Pedro I. (Aragon), 317. Pedro III., 322.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Pedro IV., 323.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Pedro I. (Castile), 320. Peninsular War, 344. Perez, Antonio, 329. Philip I., 327.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Philip II, 329.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Philip III., 330.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Philip IV., 331.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Philip V., 335.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Physical features, 293,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297.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Picaresque novels, 315. Poetry, 353, 360, 363. Polish succession, 338. Population, 298. Portocarrero, 335. Portugal, relations with,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329, 332, 333, 343. Portuguese language,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351.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Post office, 303. Pragmatic sanction, 338. Provinces, 298.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Quadruple alliance, 337. Quevedo, 357, 360. Quiñones de Benevente,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359.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Quintana, 361.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Railways, 303.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Ramiro I.-III., 311. Religion, 303.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Richelieu, 331.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Ripperda, 338.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Rivas, 362.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Rivers, 295.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Roads, 303.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Rodriguez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Toledo, 354. Roig, 363.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Rojas, 356, 359.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Roman rule, 305. Romances, 354, 357, 363. Rome, papal, relations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with, 315.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Rosa, Martinez de Ia, 361. Rueda, 356.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Ruiz, 353.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Ruiz de Alarcon, 359. Sancho IV. (Castile), 319. Sancho I. (Leon), 311. Sancho the Great, 312. Sannazaro, 357. Santillana, 355.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Santob, 353.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Seven Years’ War, 339. Seville treaty, 338.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Sheep, 300.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Shipping, 302.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Sierras, 294.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de-DE" w:eastAsia="de-DE" w:bidi="de-DE"/>
        </w:rPr>
        <w:t xml:space="preserve">Siete 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Partidas,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318, 354. Soleimán, 315.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Spanish marriages, 346. Spanish succession, 334. Steppes, 297.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Sugar culture, 300. Tellez, 358.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Theatre, 356, 358.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Thirty Years’ War, 331. Tirso de Molina, 359. Union of kingdoms, 325,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Utrecht, treaty of, 336.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Valdés,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360, 361.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Vega, Garcilaso de la, 357. Vega, Lope de, 357, 358. Vidal, 363.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Visigothic rule, 308. Wellington, 344. West-Gothic rule, 308. West Indies discovered,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wine, 299.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Ximenes, 327.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6840"/>
          <w:pgMar w:top="1155" w:left="1340" w:right="1507" w:bottom="1909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Zurita, 359.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SPALATIN,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George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(1484-1545). George Burkhardt, a subordinate figure of some interest in the history of the Reformation in Germany, was born on January 17, 1484, at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Spalt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(whence he assumed the name Spalatinus), about 25 miles from Nuremberg, where his father was an artisan.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went to Nuremberg for education when he was thirteen years of age, and two years afterwards to the university of Erfurt, where he took his bachelor’s degree within a year, in 1499. There he attracted the notice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Marschalk,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most influential professor, who made Spalatin his amanu-</w:t>
      </w:r>
    </w:p>
    <w:sectPr>
      <w:footnotePr>
        <w:pos w:val="pageBottom"/>
        <w:numFmt w:val="decimal"/>
        <w:numRestart w:val="continuous"/>
      </w:footnotePr>
      <w:type w:val="continuous"/>
      <w:pgSz w:w="12240" w:h="16840"/>
      <w:pgMar w:top="1241" w:left="1348" w:right="1460" w:bottom="180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  <w:style w:type="character" w:customStyle="1" w:styleId="CharStyle6">
    <w:name w:val="Body text (5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6"/>
      <w:szCs w:val="16"/>
      <w:u w:val="none"/>
    </w:rPr>
  </w:style>
  <w:style w:type="character" w:customStyle="1" w:styleId="CharStyle11">
    <w:name w:val="Body text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2"/>
      <w:szCs w:val="12"/>
      <w:u w:val="none"/>
    </w:rPr>
  </w:style>
  <w:style w:type="character" w:customStyle="1" w:styleId="CharStyle14">
    <w:name w:val="Body text (6)_"/>
    <w:basedOn w:val="DefaultParagraphFont"/>
    <w:link w:val="Style1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34631"/>
      <w:sz w:val="14"/>
      <w:szCs w:val="14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23" w:lineRule="auto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8"/>
      <w:szCs w:val="18"/>
      <w:u w:val="none"/>
    </w:rPr>
  </w:style>
  <w:style w:type="paragraph" w:customStyle="1" w:styleId="Style5">
    <w:name w:val="Body text (5)"/>
    <w:basedOn w:val="Normal"/>
    <w:link w:val="CharStyle6"/>
    <w:pPr>
      <w:widowControl w:val="0"/>
      <w:shd w:val="clear" w:color="auto" w:fill="FFFFFF"/>
      <w:spacing w:line="202" w:lineRule="auto"/>
      <w:ind w:firstLine="22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6"/>
      <w:szCs w:val="16"/>
      <w:u w:val="none"/>
    </w:rPr>
  </w:style>
  <w:style w:type="paragraph" w:styleId="Style10">
    <w:name w:val="Body text"/>
    <w:basedOn w:val="Normal"/>
    <w:link w:val="CharStyle11"/>
    <w:pPr>
      <w:widowControl w:val="0"/>
      <w:shd w:val="clear" w:color="auto" w:fill="FFFFFF"/>
      <w:ind w:firstLine="1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34631"/>
      <w:sz w:val="12"/>
      <w:szCs w:val="12"/>
      <w:u w:val="none"/>
    </w:rPr>
  </w:style>
  <w:style w:type="paragraph" w:customStyle="1" w:styleId="Style13">
    <w:name w:val="Body text (6)"/>
    <w:basedOn w:val="Normal"/>
    <w:link w:val="CharStyle1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34631"/>
      <w:sz w:val="14"/>
      <w:szCs w:val="1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