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endoderm into the mesoderm, which, together with the ectoderm, exhibits an independent growth of its own ; and this results in the formation of a thick investment, known as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cortex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(fig. 5), to the whole exterior of the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sponge. The radial tubes may branch,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Heteropegma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(fig. 4). If the branches are given off regularly, as the radial tubes were in the first plan, and if at the same time the original radial tube exchanges its flagellated for a pave</w:t>
        <w:softHyphen/>
        <w:t xml:space="preserve">ment epithelium, a structure as shown in fig. 6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(Polejna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connexiva,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Pol.) will result. This form might also be brought about by unequal growth of the gastral endoderm leading to a folding of the inner part of the sponge-wall. Very little direct evidence exists as to which of these two plans has actually been followed. Phylogenetically the transition from a simple Ascon to the most complicated Sycon can be traced step by step ; and ontogeny shows that such a Sycon form as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Grantia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raphanus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passes through an Ascon phase in the course of its larval development.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Returning to the ancestral form of sponge,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Olynthus,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let us conceive the endoderm growing out into a number of approximately spherical chambers, each of which com</w:t>
        <w:softHyphen/>
        <w:t xml:space="preserve">municates with the exterior by a prosopyle and with the paragastric cavity by a comparatively large aperture, which we may term for distinction an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apopyle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; at the same time let the endoderm lose its flagellated character and become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converted into a pavement epithelium, except in the spherical chambers. Such a form, called by Haeckel “ dyssycus,” may be more briefly named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Rhagon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the grape-like form of its flagellated chambers, which differ from those of a Sycon both by their form and their smaller dimensions. The Rhagon occurs as a stage in the early development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Plakina monolopha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(Schulze)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Reniera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fertilis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9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 (fig. 7) ; a calcareous sponge which appears to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810" w:lineRule="exact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approach it somewhat is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Leucopsis pedunculata,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Lfd. By the folding of the wall of a Rhagon, or by its outgrowth into lobes, a complicated structure such as that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Plakina monolopha (20)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(see fig. 26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 results. This is character</w:t>
        <w:softHyphen/>
        <w:t>ized by the chambers retaining their immediate communi</w:t>
        <w:softHyphen/>
        <w:t>cation with the incurrent and excurrent canals, opening into the latter by the widely open apopyle and receiving the former by one or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several prosopyles. This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may be termed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eury-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pylous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type of Rhagon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canal system. The fold</w:t>
        <w:softHyphen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ing of the sponge-wall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may be simple, as in the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example given, or too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complex to unravel. In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higher forms of sponges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(Geodinidæ,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Stellettidge)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chambers cease to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open abruptly into the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excurrent canals : each is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prolonged into a narrow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canal,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aphodus,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abitus,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which usually directly,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sometimes after uniting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with one or more of its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fellows, opens into an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excurrent canal. The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prosopyles, now restrict</w:t>
        <w:softHyphen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ed to one for each chamber, may remain unchanged in character, or at the most be prolonged into very short</w:t>
      </w:r>
    </w:p>
    <w:sectPr>
      <w:footnotePr>
        <w:pos w:val="pageBottom"/>
        <w:numFmt w:val="decimal"/>
        <w:numRestart w:val="continuous"/>
      </w:footnotePr>
      <w:pgSz w:w="12240" w:h="16840"/>
      <w:pgMar w:top="1673" w:left="1437" w:right="1436" w:bottom="1402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4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8"/>
      <w:szCs w:val="18"/>
      <w:u w:val="none"/>
    </w:rPr>
  </w:style>
  <w:style w:type="paragraph" w:customStyle="1" w:styleId="Style2">
    <w:name w:val="Body text (4)"/>
    <w:basedOn w:val="Normal"/>
    <w:link w:val="CharStyle3"/>
    <w:pPr>
      <w:widowControl w:val="0"/>
      <w:shd w:val="clear" w:color="auto" w:fill="FFFFFF"/>
      <w:spacing w:line="223" w:lineRule="auto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