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w:t>
      </w:r>
      <w:r>
        <w:rPr>
          <w:rFonts w:ascii="Times New Roman" w:eastAsia="Times New Roman" w:hAnsi="Times New Roman" w:cs="Times New Roman"/>
          <w:i/>
          <w:iCs/>
          <w:color w:val="000000"/>
          <w:spacing w:val="0"/>
          <w:w w:val="100"/>
          <w:position w:val="0"/>
          <w:shd w:val="clear" w:color="auto" w:fill="auto"/>
          <w:lang w:val="en-US" w:eastAsia="en-US" w:bidi="en-US"/>
        </w:rPr>
        <w:t>flt</w:t>
      </w:r>
      <w:r>
        <w:rPr>
          <w:rFonts w:ascii="Times New Roman" w:eastAsia="Times New Roman" w:hAnsi="Times New Roman" w:cs="Times New Roman"/>
          <w:color w:val="000000"/>
          <w:spacing w:val="0"/>
          <w:w w:val="100"/>
          <w:position w:val="0"/>
          <w:shd w:val="clear" w:color="auto" w:fill="auto"/>
          <w:lang w:val="en-US" w:eastAsia="en-US" w:bidi="en-US"/>
        </w:rPr>
        <w:t>. But by the triangle of forces (fig. 43) P = Tδ</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Hence </w:t>
      </w:r>
      <w:r>
        <w:rPr>
          <w:rFonts w:ascii="Times New Roman" w:eastAsia="Times New Roman" w:hAnsi="Times New Roman" w:cs="Times New Roman"/>
          <w:i/>
          <w:iCs/>
          <w:color w:val="000000"/>
          <w:spacing w:val="0"/>
          <w:w w:val="100"/>
          <w:position w:val="0"/>
          <w:shd w:val="clear" w:color="auto" w:fill="auto"/>
          <w:lang w:val="en-US" w:eastAsia="en-US" w:bidi="en-US"/>
        </w:rPr>
        <w:t>f=p</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ends of the cylinder may or may not be held together by longitudinal stress in the cylinder sides ; if they are, then, whatever be the form of the ends, a transverse section, the area of which is 2πR</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has to bear a total force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Hence, if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be the intensity of longitudinal stress, </w:t>
      </w:r>
      <w:r>
        <w:rPr>
          <w:rFonts w:ascii="Times New Roman" w:eastAsia="Times New Roman" w:hAnsi="Times New Roman" w:cs="Times New Roman"/>
          <w:i/>
          <w:iCs/>
          <w:color w:val="000000"/>
          <w:spacing w:val="0"/>
          <w:w w:val="100"/>
          <w:position w:val="0"/>
          <w:shd w:val="clear" w:color="auto" w:fill="auto"/>
          <w:lang w:val="en-US" w:eastAsia="en-US" w:bidi="en-US"/>
        </w:rPr>
        <w:t>f' =p</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R</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t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f.</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74. A thin hollow sphere under internal pressure has equal circumferential pull in all directions. To find its value consider the plate of fig. 42. There are now four equal forces T, on each of the four sides, to equilibrate the radial force P. Hence P = 2Tδ</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f=p</w:t>
      </w:r>
      <w:r>
        <w:rPr>
          <w:rFonts w:ascii="Times New Roman" w:eastAsia="Times New Roman" w:hAnsi="Times New Roman" w:cs="Times New Roman"/>
          <w:color w:val="000000"/>
          <w:spacing w:val="0"/>
          <w:w w:val="100"/>
          <w:position w:val="0"/>
          <w:shd w:val="clear" w:color="auto" w:fill="auto"/>
          <w:lang w:val="en-US" w:eastAsia="en-US" w:bidi="en-US"/>
        </w:rPr>
        <w:t>R/2</w:t>
      </w:r>
      <w:r>
        <w:rPr>
          <w:rFonts w:ascii="Times New Roman" w:eastAsia="Times New Roman" w:hAnsi="Times New Roman" w:cs="Times New Roman"/>
          <w:i/>
          <w:iCs/>
          <w:color w:val="000000"/>
          <w:spacing w:val="0"/>
          <w:w w:val="100"/>
          <w:position w:val="0"/>
          <w:shd w:val="clear" w:color="auto" w:fill="auto"/>
          <w:lang w:val="en-US" w:eastAsia="en-US" w:bidi="en-US"/>
        </w:rPr>
        <w:t>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75. When the thickness is not small compared with the radius, the radial pressure is transmitted from layer to layer with reduced intensity, and the circumferential pull diminishes towards the out</w:t>
        <w:softHyphen/>
        <w:t>side. In the case of a thick cylinder with free ends@@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we have to deal at any point with two principal stresses, radial and circum</w:t>
        <w:softHyphen/>
        <w:t xml:space="preserve">ferential, which may be denoted by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Sup</w:t>
        <w:softHyphen/>
        <w:t>posing (as we may properly do in dealing with a cylinder which is not very short) that a transverse section originally plane remains plane, the longitudinal strain is uniform. Since there is no longi</w:t>
        <w:softHyphen/>
        <w:t xml:space="preserve">tudinal stress this strain is due entirely to the lateral action of the stresses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p', and its amount is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σ</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Hence at all points </w:t>
      </w:r>
      <w:r>
        <w:rPr>
          <w:rFonts w:ascii="Times New Roman" w:eastAsia="Times New Roman" w:hAnsi="Times New Roman" w:cs="Times New Roman"/>
          <w:i/>
          <w:iCs/>
          <w:color w:val="000000"/>
          <w:spacing w:val="0"/>
          <w:w w:val="100"/>
          <w:position w:val="0"/>
          <w:shd w:val="clear" w:color="auto" w:fill="auto"/>
          <w:lang w:val="en-US" w:eastAsia="en-US" w:bidi="en-US"/>
        </w:rPr>
        <w:t>p + p'≈</w:t>
      </w:r>
      <w:r>
        <w:rPr>
          <w:rFonts w:ascii="Times New Roman" w:eastAsia="Times New Roman" w:hAnsi="Times New Roman" w:cs="Times New Roman"/>
          <w:color w:val="000000"/>
          <w:spacing w:val="0"/>
          <w:w w:val="100"/>
          <w:position w:val="0"/>
          <w:shd w:val="clear" w:color="auto" w:fill="auto"/>
          <w:lang w:val="en-US" w:eastAsia="en-US" w:bidi="en-US"/>
        </w:rPr>
        <w:t xml:space="preserve"> constant.@@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Further, by considering the equilibrium of any</w:t>
      </w:r>
    </w:p>
    <w:p>
      <w:pPr>
        <w:pStyle w:val="Style3"/>
        <w:keepNext w:val="0"/>
        <w:keepLines w:val="0"/>
        <w:widowControl w:val="0"/>
        <w:shd w:val="clear" w:color="auto" w:fill="auto"/>
        <w:bidi w:val="0"/>
        <w:spacing w:line="30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thin layer, as we have already considered that of a thin cylinder, we have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two equations give by integration, p = C + C'∕</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 C - C'∕</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be the external and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internal radius,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the pressure on the inner surface, the conditions that </w:t>
      </w:r>
      <w:r>
        <w:rPr>
          <w:rFonts w:ascii="Times New Roman" w:eastAsia="Times New Roman" w:hAnsi="Times New Roman" w:cs="Times New Roman"/>
          <w:i/>
          <w:iCs/>
          <w:color w:val="000000"/>
          <w:spacing w:val="0"/>
          <w:w w:val="100"/>
          <w:position w:val="0"/>
          <w:shd w:val="clear" w:color="auto" w:fill="auto"/>
          <w:lang w:val="en-US" w:eastAsia="en-US" w:bidi="en-US"/>
        </w:rPr>
        <w:t>p=p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when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 0 when </w:t>
      </w:r>
      <w:r>
        <w:rPr>
          <w:rFonts w:ascii="Times New Roman" w:eastAsia="Times New Roman" w:hAnsi="Times New Roman" w:cs="Times New Roman"/>
          <w:i/>
          <w:iCs/>
          <w:color w:val="000000"/>
          <w:spacing w:val="0"/>
          <w:w w:val="100"/>
          <w:position w:val="0"/>
          <w:shd w:val="clear" w:color="auto" w:fill="auto"/>
          <w:lang w:val="en-US" w:eastAsia="en-US" w:bidi="en-US"/>
        </w:rPr>
        <w:t>r=r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give C = -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 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C' = -C</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Hence the circumferential stress at any radius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At the inside, where this is greatest, its value is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 quantity always</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greater than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however thick the cylinder is.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construction of guns various devices have been used to equalize the circumferential tension. With cast guns a chilled core has been employed to make the inner layers solidify and cool first, so that they are afterwards compressed by the later contrac</w:t>
        <w:softHyphen/>
        <w:t>tion of the outer layers. In guns built up of wrought-iron or steel hoops the hoops are bored small by a regulated amount and are shrunk on over the barrel or over the inner hoops. In Mr Long</w:t>
        <w:softHyphen/>
        <w:t>ridge’s system, now under trial, the gun is made by winding steel wire or ribbon, with suitable initial tension, on a central barrel.</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76. The circumferential stress at any point of a thick hollow sphere exposed to internal fluid pressure is found, by a process like that of the last paragraph, to be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(1 +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which gives, for the greatest tension, the value</w:t>
      </w:r>
    </w:p>
    <w:p>
      <w:pPr>
        <w:pStyle w:val="Style3"/>
        <w:keepNext w:val="0"/>
        <w:keepLines w:val="0"/>
        <w:widowControl w:val="0"/>
        <w:shd w:val="clear" w:color="auto" w:fill="auto"/>
        <w:tabs>
          <w:tab w:pos="3739" w:val="left"/>
        </w:tabs>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+ 2</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tab/>
        <w:t>(J. A. E. )</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STRICKLAND, </w:t>
      </w:r>
      <w:r>
        <w:rPr>
          <w:rFonts w:ascii="Times New Roman" w:eastAsia="Times New Roman" w:hAnsi="Times New Roman" w:cs="Times New Roman"/>
          <w:smallCaps/>
          <w:color w:val="000000"/>
          <w:spacing w:val="0"/>
          <w:w w:val="100"/>
          <w:position w:val="0"/>
          <w:shd w:val="clear" w:color="auto" w:fill="auto"/>
          <w:lang w:val="en-US" w:eastAsia="en-US" w:bidi="en-US"/>
        </w:rPr>
        <w:t>Agnes</w:t>
      </w:r>
      <w:r>
        <w:rPr>
          <w:rFonts w:ascii="Times New Roman" w:eastAsia="Times New Roman" w:hAnsi="Times New Roman" w:cs="Times New Roman"/>
          <w:color w:val="000000"/>
          <w:spacing w:val="0"/>
          <w:w w:val="100"/>
          <w:position w:val="0"/>
          <w:shd w:val="clear" w:color="auto" w:fill="auto"/>
          <w:lang w:val="en-US" w:eastAsia="en-US" w:bidi="en-US"/>
        </w:rPr>
        <w:t xml:space="preserve"> (1806-1874), a popular his</w:t>
        <w:softHyphen/>
        <w:t>torical writer, was born in 1806, the third daughter of Thomas Strickland, of Roydon Hall, Suffolk. Her first literary efforts were historical romances in verse in the style of Walter Scott,—</w:t>
      </w:r>
      <w:r>
        <w:rPr>
          <w:rFonts w:ascii="Times New Roman" w:eastAsia="Times New Roman" w:hAnsi="Times New Roman" w:cs="Times New Roman"/>
          <w:i/>
          <w:iCs/>
          <w:color w:val="000000"/>
          <w:spacing w:val="0"/>
          <w:w w:val="100"/>
          <w:position w:val="0"/>
          <w:shd w:val="clear" w:color="auto" w:fill="auto"/>
          <w:lang w:val="en-US" w:eastAsia="en-US" w:bidi="en-US"/>
        </w:rPr>
        <w:t>Worcester Field</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without date), </w:t>
      </w:r>
      <w:r>
        <w:rPr>
          <w:rFonts w:ascii="Times New Roman" w:eastAsia="Times New Roman" w:hAnsi="Times New Roman" w:cs="Times New Roman"/>
          <w:i/>
          <w:iCs/>
          <w:color w:val="000000"/>
          <w:spacing w:val="0"/>
          <w:w w:val="100"/>
          <w:position w:val="0"/>
          <w:shd w:val="clear" w:color="auto" w:fill="auto"/>
          <w:lang w:val="en-US" w:eastAsia="en-US" w:bidi="en-US"/>
        </w:rPr>
        <w:t>Demetrius and other Poems</w:t>
      </w:r>
      <w:r>
        <w:rPr>
          <w:rFonts w:ascii="Times New Roman" w:eastAsia="Times New Roman" w:hAnsi="Times New Roman" w:cs="Times New Roman"/>
          <w:color w:val="000000"/>
          <w:spacing w:val="0"/>
          <w:w w:val="100"/>
          <w:position w:val="0"/>
          <w:shd w:val="clear" w:color="auto" w:fill="auto"/>
          <w:lang w:val="en-US" w:eastAsia="en-US" w:bidi="en-US"/>
        </w:rPr>
        <w:t xml:space="preserve"> (1833). From this she passed to prose histories, written in a simple style for the young. A picturesque sketch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Pilgrims of Walsingham </w:t>
      </w:r>
      <w:r>
        <w:rPr>
          <w:rFonts w:ascii="Times New Roman" w:eastAsia="Times New Roman" w:hAnsi="Times New Roman" w:cs="Times New Roman"/>
          <w:color w:val="000000"/>
          <w:spacing w:val="0"/>
          <w:w w:val="100"/>
          <w:position w:val="0"/>
          <w:shd w:val="clear" w:color="auto" w:fill="auto"/>
          <w:lang w:val="en-US" w:eastAsia="en-US" w:bidi="en-US"/>
        </w:rPr>
        <w:t xml:space="preserve">appeared in 1835, two volumes of </w:t>
      </w:r>
      <w:r>
        <w:rPr>
          <w:rFonts w:ascii="Times New Roman" w:eastAsia="Times New Roman" w:hAnsi="Times New Roman" w:cs="Times New Roman"/>
          <w:i/>
          <w:iCs/>
          <w:color w:val="000000"/>
          <w:spacing w:val="0"/>
          <w:w w:val="100"/>
          <w:position w:val="0"/>
          <w:shd w:val="clear" w:color="auto" w:fill="auto"/>
          <w:lang w:val="en-US" w:eastAsia="en-US" w:bidi="en-US"/>
        </w:rPr>
        <w:t>Tales and Stories from History</w:t>
      </w:r>
      <w:r>
        <w:rPr>
          <w:rFonts w:ascii="Times New Roman" w:eastAsia="Times New Roman" w:hAnsi="Times New Roman" w:cs="Times New Roman"/>
          <w:color w:val="000000"/>
          <w:spacing w:val="0"/>
          <w:w w:val="100"/>
          <w:position w:val="0"/>
          <w:shd w:val="clear" w:color="auto" w:fill="auto"/>
          <w:lang w:val="en-US" w:eastAsia="en-US" w:bidi="en-US"/>
        </w:rPr>
        <w:t xml:space="preserve"> in the following year. Then with the assistance of her sister she projected a more ambitious work, </w:t>
      </w:r>
      <w:r>
        <w:rPr>
          <w:rFonts w:ascii="Times New Roman" w:eastAsia="Times New Roman" w:hAnsi="Times New Roman" w:cs="Times New Roman"/>
          <w:i/>
          <w:iCs/>
          <w:color w:val="000000"/>
          <w:spacing w:val="0"/>
          <w:w w:val="100"/>
          <w:position w:val="0"/>
          <w:shd w:val="clear" w:color="auto" w:fill="auto"/>
          <w:lang w:val="en-US" w:eastAsia="en-US" w:bidi="en-US"/>
        </w:rPr>
        <w:t>The Lives of the Queens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from Mathilda of Flanders to Queen Anne. The first volume appeared in 1840, the twelfth and last in 1849. Miss Strickland was a warm partisan on the side of royalty and the church, but she made industrious study of “official records and other public documents,” gave copious extracts from them, and drew interesting pictures of manners and customs. While engaged on this work she found time to edit (in 1843) the </w:t>
      </w:r>
      <w:r>
        <w:rPr>
          <w:rFonts w:ascii="Times New Roman" w:eastAsia="Times New Roman" w:hAnsi="Times New Roman" w:cs="Times New Roman"/>
          <w:i/>
          <w:iCs/>
          <w:color w:val="000000"/>
          <w:spacing w:val="0"/>
          <w:w w:val="100"/>
          <w:position w:val="0"/>
          <w:shd w:val="clear" w:color="auto" w:fill="auto"/>
          <w:lang w:val="en-US" w:eastAsia="en-US" w:bidi="en-US"/>
        </w:rPr>
        <w:t>Letters of Mary, Queen of Scots,</w:t>
      </w:r>
      <w:r>
        <w:rPr>
          <w:rFonts w:ascii="Times New Roman" w:eastAsia="Times New Roman" w:hAnsi="Times New Roman" w:cs="Times New Roman"/>
          <w:color w:val="000000"/>
          <w:spacing w:val="0"/>
          <w:w w:val="100"/>
          <w:position w:val="0"/>
          <w:shd w:val="clear" w:color="auto" w:fill="auto"/>
          <w:lang w:val="en-US" w:eastAsia="en-US" w:bidi="en-US"/>
        </w:rPr>
        <w:t xml:space="preserve"> whose innocence she championed with enthusiasm. In 1850 she followed up her </w:t>
      </w:r>
      <w:r>
        <w:rPr>
          <w:rFonts w:ascii="Times New Roman" w:eastAsia="Times New Roman" w:hAnsi="Times New Roman" w:cs="Times New Roman"/>
          <w:i/>
          <w:iCs/>
          <w:color w:val="000000"/>
          <w:spacing w:val="0"/>
          <w:w w:val="100"/>
          <w:position w:val="0"/>
          <w:shd w:val="clear" w:color="auto" w:fill="auto"/>
          <w:lang w:val="en-US" w:eastAsia="en-US" w:bidi="en-US"/>
        </w:rPr>
        <w:t>Queens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with the </w:t>
      </w:r>
      <w:r>
        <w:rPr>
          <w:rFonts w:ascii="Times New Roman" w:eastAsia="Times New Roman" w:hAnsi="Times New Roman" w:cs="Times New Roman"/>
          <w:i/>
          <w:iCs/>
          <w:color w:val="000000"/>
          <w:spacing w:val="0"/>
          <w:w w:val="100"/>
          <w:position w:val="0"/>
          <w:shd w:val="clear" w:color="auto" w:fill="auto"/>
          <w:lang w:val="en-US" w:eastAsia="en-US" w:bidi="en-US"/>
        </w:rPr>
        <w:t>Lives of the Queens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completing the series in eight volumes in 1859. Unresting in her industry, she turned next to the </w:t>
      </w:r>
      <w:r>
        <w:rPr>
          <w:rFonts w:ascii="Times New Roman" w:eastAsia="Times New Roman" w:hAnsi="Times New Roman" w:cs="Times New Roman"/>
          <w:i/>
          <w:iCs/>
          <w:color w:val="000000"/>
          <w:spacing w:val="0"/>
          <w:w w:val="100"/>
          <w:position w:val="0"/>
          <w:shd w:val="clear" w:color="auto" w:fill="auto"/>
          <w:lang w:val="en-US" w:eastAsia="en-US" w:bidi="en-US"/>
        </w:rPr>
        <w:t>Batchelor Kings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about whom she published a volume in 1861. The </w:t>
      </w:r>
      <w:r>
        <w:rPr>
          <w:rFonts w:ascii="Times New Roman" w:eastAsia="Times New Roman" w:hAnsi="Times New Roman" w:cs="Times New Roman"/>
          <w:i/>
          <w:iCs/>
          <w:color w:val="000000"/>
          <w:spacing w:val="0"/>
          <w:w w:val="100"/>
          <w:position w:val="0"/>
          <w:shd w:val="clear" w:color="auto" w:fill="auto"/>
          <w:lang w:val="en-US" w:eastAsia="en-US" w:bidi="en-US"/>
        </w:rPr>
        <w:t>Lives of the Seven Bishops</w:t>
      </w:r>
      <w:r>
        <w:rPr>
          <w:rFonts w:ascii="Times New Roman" w:eastAsia="Times New Roman" w:hAnsi="Times New Roman" w:cs="Times New Roman"/>
          <w:color w:val="000000"/>
          <w:spacing w:val="0"/>
          <w:w w:val="100"/>
          <w:position w:val="0"/>
          <w:shd w:val="clear" w:color="auto" w:fill="auto"/>
          <w:lang w:val="en-US" w:eastAsia="en-US" w:bidi="en-US"/>
        </w:rPr>
        <w:t xml:space="preserve"> followed in 1866— after a longer interval, part of which was employed in producing an abridged version of her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Queens of England. </w:t>
      </w:r>
      <w:r>
        <w:rPr>
          <w:rFonts w:ascii="Times New Roman" w:eastAsia="Times New Roman" w:hAnsi="Times New Roman" w:cs="Times New Roman"/>
          <w:color w:val="000000"/>
          <w:spacing w:val="0"/>
          <w:w w:val="100"/>
          <w:position w:val="0"/>
          <w:shd w:val="clear" w:color="auto" w:fill="auto"/>
          <w:lang w:val="en-US" w:eastAsia="en-US" w:bidi="en-US"/>
        </w:rPr>
        <w:t xml:space="preserve">Her last work was the </w:t>
      </w:r>
      <w:r>
        <w:rPr>
          <w:rFonts w:ascii="Times New Roman" w:eastAsia="Times New Roman" w:hAnsi="Times New Roman" w:cs="Times New Roman"/>
          <w:i/>
          <w:iCs/>
          <w:color w:val="000000"/>
          <w:spacing w:val="0"/>
          <w:w w:val="100"/>
          <w:position w:val="0"/>
          <w:shd w:val="clear" w:color="auto" w:fill="auto"/>
          <w:lang w:val="en-US" w:eastAsia="en-US" w:bidi="en-US"/>
        </w:rPr>
        <w:t>Lives of the Last Four Stuart Princesses,</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1872. In 1871 she obtained a civil list pension of £100 in recognition of her merits. She died at Roydon Hall on the 8th of July 1874.</w:t>
      </w:r>
    </w:p>
    <w:p>
      <w:pPr>
        <w:pStyle w:val="Style3"/>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by her sister, Jane Margaret Strickland, appeared in 1887.</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STRIEGAU, an industrial town of Prussia, in the pro</w:t>
        <w:softHyphen/>
        <w:t>vince of Silesia, is situated on a small, tributary of the Weistritz, 30 miles to the south-west of Breslau. In 1880 it contained 11,470 inhabitants, 6928 of whom were Protestants and 4379 Roman Catholics. Their chief occupations are tanning and the manufacture of albums, portfolios, and other articles in leather. Granite is</w:t>
      </w:r>
    </w:p>
    <w:p>
      <w:pPr>
        <w:pStyle w:val="Style10"/>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quarried in the neighbourhood, and a trade is carried on in grain. It was near Striegau that Frederick the Great gained the important victory usually named after the village of </w:t>
      </w:r>
      <w:r>
        <w:rPr>
          <w:rFonts w:ascii="Times New Roman" w:eastAsia="Times New Roman" w:hAnsi="Times New Roman" w:cs="Times New Roman"/>
          <w:color w:val="000000"/>
          <w:spacing w:val="0"/>
          <w:w w:val="100"/>
          <w:position w:val="0"/>
          <w:shd w:val="clear" w:color="auto" w:fill="auto"/>
          <w:lang w:val="de-DE" w:eastAsia="de-DE" w:bidi="de-DE"/>
        </w:rPr>
        <w:t xml:space="preserve">Hohenfriedberg </w:t>
      </w:r>
      <w:r>
        <w:rPr>
          <w:rFonts w:ascii="Times New Roman" w:eastAsia="Times New Roman" w:hAnsi="Times New Roman" w:cs="Times New Roman"/>
          <w:color w:val="000000"/>
          <w:spacing w:val="0"/>
          <w:w w:val="100"/>
          <w:position w:val="0"/>
          <w:shd w:val="clear" w:color="auto" w:fill="auto"/>
          <w:lang w:val="en-US" w:eastAsia="en-US" w:bidi="en-US"/>
        </w:rPr>
        <w:t>(June 4, 1745).</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STROMBOLI.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Lipari Islands.</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STRONTIUM, a metallic chemical element intermedi</w:t>
        <w:softHyphen/>
        <w:t>ate in its character between barium and calcium, with which it forms a natural “ triad.” Though widely diffused as a frequent companion of calcium (including oceanic), it occurs nowhere in abundance. Its most important mineral forms are the sulphate, SrSO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known as </w:t>
      </w:r>
      <w:r>
        <w:rPr>
          <w:rFonts w:ascii="Times New Roman" w:eastAsia="Times New Roman" w:hAnsi="Times New Roman" w:cs="Times New Roman"/>
          <w:i/>
          <w:iCs/>
          <w:color w:val="000000"/>
          <w:spacing w:val="0"/>
          <w:w w:val="100"/>
          <w:position w:val="0"/>
          <w:shd w:val="clear" w:color="auto" w:fill="auto"/>
          <w:lang w:val="fr-FR" w:eastAsia="fr-FR" w:bidi="fr-FR"/>
        </w:rPr>
        <w:t>Cœlestine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 sky-blue colour of certain varieties), and the carbonate, SrCO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called </w:t>
      </w:r>
      <w:r>
        <w:rPr>
          <w:rFonts w:ascii="Times New Roman" w:eastAsia="Times New Roman" w:hAnsi="Times New Roman" w:cs="Times New Roman"/>
          <w:i/>
          <w:iCs/>
          <w:color w:val="000000"/>
          <w:spacing w:val="0"/>
          <w:w w:val="100"/>
          <w:position w:val="0"/>
          <w:shd w:val="clear" w:color="auto" w:fill="auto"/>
          <w:lang w:val="en-US" w:eastAsia="en-US" w:bidi="en-US"/>
        </w:rPr>
        <w:t>Strontianite</w:t>
      </w:r>
      <w:r>
        <w:rPr>
          <w:rFonts w:ascii="Times New Roman" w:eastAsia="Times New Roman" w:hAnsi="Times New Roman" w:cs="Times New Roman"/>
          <w:color w:val="000000"/>
          <w:spacing w:val="0"/>
          <w:w w:val="100"/>
          <w:position w:val="0"/>
          <w:shd w:val="clear" w:color="auto" w:fill="auto"/>
          <w:lang w:val="en-US" w:eastAsia="en-US" w:bidi="en-US"/>
        </w:rPr>
        <w:t xml:space="preserve"> because it was discovered first at Strontian, in Argyllshire, Scotland. Crawford and (independently of him) Cruickshanks in 1790 were the first to recognize the latter mineral as a thing of its own kind and different from witherite (BaCO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Hope, in 1793, proved it to be the carbonate of a new earth, which discovery was confirmed by Klaproth.</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Regarding metallic strontium,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vol. v. pp. 525-6. For the making of strontium preparations strontianite, of course, is the handier raw material, being readily convertible into (for instance) nitrate by treatment with dilute nitric acid. From the nitrate the oxide, SrO, is obtained by prolonged calcination at ultimately a bright red heat, as a greyish-whifce absolutely infus</w:t>
        <w:softHyphen/>
        <w:t>ible and non-volatile mass, which acts violently on water with formation of the hydrate, Sr(OH)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which latter readily takes up 8H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of water to form crystals soluble in fifty parts of cold and far less of boiling water. An impure oxide is obtainable directly from strontianite by strong ignition with charcoal ; and from such crude oxide pure crystals of the hydrate are easily produced by obvious operations.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working up of </w:t>
      </w:r>
      <w:r>
        <w:rPr>
          <w:rFonts w:ascii="Times New Roman" w:eastAsia="Times New Roman" w:hAnsi="Times New Roman" w:cs="Times New Roman"/>
          <w:color w:val="000000"/>
          <w:spacing w:val="0"/>
          <w:w w:val="100"/>
          <w:position w:val="0"/>
          <w:shd w:val="clear" w:color="auto" w:fill="auto"/>
          <w:lang w:val="fr-FR" w:eastAsia="fr-FR" w:bidi="fr-FR"/>
        </w:rPr>
        <w:t xml:space="preserve">cœlestine </w:t>
      </w:r>
      <w:r>
        <w:rPr>
          <w:rFonts w:ascii="Times New Roman" w:eastAsia="Times New Roman" w:hAnsi="Times New Roman" w:cs="Times New Roman"/>
          <w:color w:val="000000"/>
          <w:spacing w:val="0"/>
          <w:w w:val="100"/>
          <w:position w:val="0"/>
          <w:shd w:val="clear" w:color="auto" w:fill="auto"/>
          <w:lang w:val="en-US" w:eastAsia="en-US" w:bidi="en-US"/>
        </w:rPr>
        <w:t>the first step is to reduce it to sulphide, SrS, by means of charcoal at a red heat. The sulphide when boiled with water is decomposed thus :—</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2SrS + 2H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 SrOH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 SrSH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w:t>
      </w:r>
    </w:p>
    <w:p>
      <w:pPr>
        <w:pStyle w:val="Style15"/>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Hydrate. Sulph-hydrate.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Both products dissolve in the hot water ; from the solution the S of the SrH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easily eliminated, by treatment with oxide of copper or oxide of zinc, as insoluble metallic sulphide; the filtrate on cooling gives crystals of pure hydrate. From it any strontia salt of course is easily made by means of the respective acid ; in many cases the salt wished for can be obtained similarly from the sulphide.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Nitrate of strontia from hot solutions crystallizes in anhydrous octahedra, SrN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soluble in about ⅜ part of boiling and in 5 parts of cold water. From colder solutions hydrated crystals, SrN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+ 4H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separate out. The anhydrous salt is used largely by pyrotechnists for the making of “red fire.”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hydroxide some years ago promised to play an important part in the sugar industry as a precipitant for the cane-sugar known to be present largely in uncrystallizable molasses (see </w:t>
      </w:r>
      <w:r>
        <w:rPr>
          <w:rFonts w:ascii="Times New Roman" w:eastAsia="Times New Roman" w:hAnsi="Times New Roman" w:cs="Times New Roman"/>
          <w:smallCaps/>
          <w:color w:val="000000"/>
          <w:spacing w:val="0"/>
          <w:w w:val="100"/>
          <w:position w:val="0"/>
          <w:shd w:val="clear" w:color="auto" w:fill="auto"/>
          <w:lang w:val="en-US" w:eastAsia="en-US" w:bidi="en-US"/>
        </w:rPr>
        <w:t>Sugar),</w:t>
      </w:r>
      <w:r>
        <w:rPr>
          <w:rFonts w:ascii="Times New Roman" w:eastAsia="Times New Roman" w:hAnsi="Times New Roman" w:cs="Times New Roman"/>
          <w:color w:val="000000"/>
          <w:spacing w:val="0"/>
          <w:w w:val="100"/>
          <w:position w:val="0"/>
          <w:shd w:val="clear" w:color="auto" w:fill="auto"/>
          <w:lang w:val="en-US" w:eastAsia="en-US" w:bidi="en-US"/>
        </w:rPr>
        <w:t xml:space="preserve"> but the process so far has failed to take root in industry.</w:t>
      </w:r>
    </w:p>
    <w:p>
      <w:pPr>
        <w:pStyle w:val="Style1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condition is realized in practice when the fluid causing internal pressure is held in by a piston, and the stress between this piston and the other end of the cylinder is taken by some other part of the structure than the cylinder sides.</w:t>
      </w:r>
    </w:p>
    <w:p>
      <w:pPr>
        <w:pStyle w:val="Style1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solution which follows in the text is applicable even when there is longitudinal stress, provided that the longitudinal stress is uniformly distributed over each transverse section. If we call this stress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the longitudinal strain is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"∕E+(</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')∕σE. Since the whole strain is uniform,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uniform, the sum of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constant at all points, as in the case where the ends are free.</w:t>
      </w:r>
    </w:p>
    <w:p>
      <w:pPr>
        <w:widowControl w:val="0"/>
        <w:spacing w:line="1" w:lineRule="exact"/>
      </w:pPr>
    </w:p>
    <w:sectPr>
      <w:footnotePr>
        <w:pos w:val="pageBottom"/>
        <w:numFmt w:val="decimal"/>
        <w:numRestart w:val="continuous"/>
      </w:footnotePr>
      <w:type w:val="continuous"/>
      <w:pgSz w:w="12240" w:h="16840"/>
      <w:pgMar w:top="1172" w:left="1413" w:right="1456" w:bottom="11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11">
    <w:name w:val="Body text_"/>
    <w:basedOn w:val="DefaultParagraphFont"/>
    <w:link w:val="Style10"/>
    <w:rPr>
      <w:b w:val="0"/>
      <w:bCs w:val="0"/>
      <w:i w:val="0"/>
      <w:iCs w:val="0"/>
      <w:smallCaps w:val="0"/>
      <w:strike w:val="0"/>
      <w:sz w:val="18"/>
      <w:szCs w:val="18"/>
      <w:u w:val="none"/>
    </w:rPr>
  </w:style>
  <w:style w:type="character" w:customStyle="1" w:styleId="CharStyle16">
    <w:name w:val="Body text (5)_"/>
    <w:basedOn w:val="DefaultParagraphFont"/>
    <w:link w:val="Style15"/>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10">
    <w:name w:val="Body text"/>
    <w:basedOn w:val="Normal"/>
    <w:link w:val="CharStyle11"/>
    <w:pPr>
      <w:widowControl w:val="0"/>
      <w:shd w:val="clear" w:color="auto" w:fill="FFFFFF"/>
      <w:jc w:val="both"/>
    </w:pPr>
    <w:rPr>
      <w:b w:val="0"/>
      <w:bCs w:val="0"/>
      <w:i w:val="0"/>
      <w:iCs w:val="0"/>
      <w:smallCaps w:val="0"/>
      <w:strike w:val="0"/>
      <w:sz w:val="18"/>
      <w:szCs w:val="18"/>
      <w:u w:val="none"/>
    </w:rPr>
  </w:style>
  <w:style w:type="paragraph" w:customStyle="1" w:styleId="Style15">
    <w:name w:val="Body text (5)"/>
    <w:basedOn w:val="Normal"/>
    <w:link w:val="CharStyle16"/>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