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Christian population of the Malkite (Greek) Church in Pales</w:t>
        <w:softHyphen/>
        <w:t xml:space="preserve">tine, written in an Aramaic dialect more akin to the language of the Jewish Targums than to that of the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sh</w:t>
      </w:r>
      <w:r>
        <w:rPr>
          <w:spacing w:val="0"/>
          <w:w w:val="100"/>
          <w:position w:val="0"/>
          <w:shd w:val="clear" w:color="auto" w:fill="auto"/>
          <w:lang w:val="en-US" w:eastAsia="en-US" w:bidi="en-US"/>
        </w:rPr>
        <w:t>ī</w:t>
      </w:r>
      <w:r>
        <w:rPr>
          <w:spacing w:val="0"/>
          <w:w w:val="100"/>
          <w:position w:val="0"/>
          <w:shd w:val="clear" w:color="auto" w:fill="auto"/>
          <w:lang w:val="fr-FR" w:eastAsia="fr-FR" w:bidi="fr-FR"/>
        </w:rPr>
        <w:t>tt</w:t>
      </w:r>
      <w:r>
        <w:rPr>
          <w:spacing w:val="0"/>
          <w:w w:val="100"/>
          <w:position w:val="0"/>
          <w:shd w:val="clear" w:color="auto" w:fill="auto"/>
          <w:lang w:val="en-US" w:eastAsia="en-US" w:bidi="en-US"/>
        </w:rPr>
        <w:t>ā</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lectionary containing large portions of the Gospels in this dialect was de</w:t>
        <w:softHyphen/>
        <w:t>scribed by Assemani in the catalogue of the Vatican library,@@</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studied by Adler,@@</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edited by Count Fr. Miniscalchi Erizzo under the title of </w:t>
      </w:r>
      <w:r>
        <w:rPr>
          <w:i/>
          <w:iCs/>
          <w:spacing w:val="0"/>
          <w:w w:val="100"/>
          <w:position w:val="0"/>
          <w:shd w:val="clear" w:color="auto" w:fill="auto"/>
          <w:lang w:val="en-US" w:eastAsia="en-US" w:bidi="en-US"/>
        </w:rPr>
        <w:t xml:space="preserve">Evangeliariwm </w:t>
      </w:r>
      <w:r>
        <w:rPr>
          <w:i/>
          <w:iCs/>
          <w:spacing w:val="0"/>
          <w:w w:val="100"/>
          <w:position w:val="0"/>
          <w:shd w:val="clear" w:color="auto" w:fill="auto"/>
          <w:lang w:val="la-001" w:eastAsia="la-001" w:bidi="la-001"/>
        </w:rPr>
        <w:t>Hierosolymitanum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(2 vols., Verona, 1861-64). It was written in a convent at a place called  Ā</w:t>
      </w:r>
      <w:r>
        <w:rPr>
          <w:spacing w:val="0"/>
          <w:w w:val="100"/>
          <w:position w:val="0"/>
          <w:shd w:val="clear" w:color="auto" w:fill="auto"/>
          <w:lang w:val="fr-FR" w:eastAsia="fr-FR" w:bidi="fr-FR"/>
        </w:rPr>
        <w:t>b</w:t>
      </w:r>
      <w:r>
        <w:rPr>
          <w:spacing w:val="0"/>
          <w:w w:val="100"/>
          <w:position w:val="0"/>
          <w:shd w:val="clear" w:color="auto" w:fill="auto"/>
          <w:lang w:val="en-US" w:eastAsia="en-US" w:bidi="en-US"/>
        </w:rPr>
        <w:t>ū</w:t>
      </w:r>
      <w:r>
        <w:rPr>
          <w:spacing w:val="0"/>
          <w:w w:val="100"/>
          <w:position w:val="0"/>
          <w:shd w:val="clear" w:color="auto" w:fill="auto"/>
          <w:lang w:val="fr-FR" w:eastAsia="fr-FR" w:bidi="fr-FR"/>
        </w:rPr>
        <w:t>d,</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not very far from Jerusalem, in the year 1030, and the scribe claims to have copied sundry other service-books for the use of his church (see Assemani,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102). Fragments of other evangeliaria have been published by Land, from MSS. at London and St Petersburg, in his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iv. pp. 114-162, 213-222 ; of the Acts of the Apostles, p. 168 ; and of the Old Testament (translated from the Greek), pp. 103-110, 165-167, 222-223. According to the same authority (p. 231), the calendar in the Vatican MS. must have been drawn up about the middle of the 9th century. Few, if any, of the extant fragments appear to be of older date. </w:t>
      </w:r>
      <w:r>
        <w:rPr>
          <w:spacing w:val="0"/>
          <w:w w:val="100"/>
          <w:position w:val="0"/>
          <w:shd w:val="clear" w:color="auto" w:fill="auto"/>
          <w:lang w:val="de-DE" w:eastAsia="de-DE" w:bidi="de-DE"/>
        </w:rPr>
        <w:t xml:space="preserve">Nöldeke </w:t>
      </w:r>
      <w:r>
        <w:rPr>
          <w:spacing w:val="0"/>
          <w:w w:val="100"/>
          <w:position w:val="0"/>
          <w:shd w:val="clear" w:color="auto" w:fill="auto"/>
          <w:lang w:val="en-US" w:eastAsia="en-US" w:bidi="en-US"/>
        </w:rPr>
        <w:t xml:space="preserve">places the origin of the version in the 4th or 5th century, certainly not later than 600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p. 525).@@</w:t>
      </w:r>
      <w:r>
        <w:rPr>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All the above revisions of the text of the Syriac Bible according to the Greek are, as we have seen, the work of Monophysites, with the single exception of the last, which proceeded from the Malkites. The Nestorian community obstinately adhered to the old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sh</w:t>
      </w:r>
      <w:r>
        <w:rPr>
          <w:spacing w:val="0"/>
          <w:w w:val="100"/>
          <w:position w:val="0"/>
          <w:shd w:val="clear" w:color="auto" w:fill="auto"/>
          <w:lang w:val="en-US" w:eastAsia="en-US" w:bidi="en-US"/>
        </w:rPr>
        <w:t>ī</w:t>
      </w:r>
      <w:r>
        <w:rPr>
          <w:spacing w:val="0"/>
          <w:w w:val="100"/>
          <w:position w:val="0"/>
          <w:shd w:val="clear" w:color="auto" w:fill="auto"/>
          <w:lang w:val="fr-FR" w:eastAsia="fr-FR" w:bidi="fr-FR"/>
        </w:rPr>
        <w:t>tt</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the solitary attempt made to introduce a revised text among them seems to have been an utter failure. </w:t>
      </w:r>
      <w:r>
        <w:rPr>
          <w:spacing w:val="0"/>
          <w:w w:val="100"/>
          <w:position w:val="0"/>
          <w:shd w:val="clear" w:color="auto" w:fill="auto"/>
          <w:lang w:val="de-DE" w:eastAsia="de-DE" w:bidi="de-DE"/>
        </w:rPr>
        <w:t>M</w:t>
      </w:r>
      <w:r>
        <w:rPr>
          <w:spacing w:val="0"/>
          <w:w w:val="100"/>
          <w:position w:val="0"/>
          <w:shd w:val="clear" w:color="auto" w:fill="auto"/>
          <w:lang w:val="en-US" w:eastAsia="en-US" w:bidi="en-US"/>
        </w:rPr>
        <w:t>ā</w:t>
      </w:r>
      <w:r>
        <w:rPr>
          <w:spacing w:val="0"/>
          <w:w w:val="100"/>
          <w:position w:val="0"/>
          <w:shd w:val="clear" w:color="auto" w:fill="auto"/>
          <w:lang w:val="de-DE" w:eastAsia="de-DE" w:bidi="de-DE"/>
        </w:rPr>
        <w:t>r-abh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 convert from Zoroastrianism, who was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from 536 to 552, went to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studied Greek there under a teacher named Thomas,@@</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and with his help translated the whole of the Old Testament into Syriac, and perhaps also the New. This statement rests on the authority of the author of the </w:t>
      </w:r>
      <w:r>
        <w:rPr>
          <w:i/>
          <w:iCs/>
          <w:spacing w:val="0"/>
          <w:w w:val="100"/>
          <w:position w:val="0"/>
          <w:shd w:val="clear" w:color="auto" w:fill="auto"/>
          <w:lang w:val="fr-FR" w:eastAsia="fr-FR" w:bidi="fr-FR"/>
        </w:rPr>
        <w:t>Kil</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b </w:t>
      </w:r>
      <w:r>
        <w:rPr>
          <w:i/>
          <w:iCs/>
          <w:spacing w:val="0"/>
          <w:w w:val="100"/>
          <w:position w:val="0"/>
          <w:shd w:val="clear" w:color="auto" w:fill="auto"/>
          <w:lang w:val="en-US" w:eastAsia="en-US" w:bidi="en-US"/>
        </w:rPr>
        <w:t>al-Majdal</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(M</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ri </w:t>
      </w:r>
      <w:r>
        <w:rPr>
          <w:spacing w:val="0"/>
          <w:w w:val="100"/>
          <w:position w:val="0"/>
          <w:shd w:val="clear" w:color="auto" w:fill="auto"/>
          <w:lang w:val="en-US" w:eastAsia="en-US" w:bidi="en-US"/>
        </w:rPr>
        <w:t xml:space="preserve">ibn </w:t>
      </w:r>
      <w:r>
        <w:rPr>
          <w:spacing w:val="0"/>
          <w:w w:val="100"/>
          <w:position w:val="0"/>
          <w:shd w:val="clear" w:color="auto" w:fill="auto"/>
          <w:lang w:val="de-DE" w:eastAsia="de-DE" w:bidi="de-DE"/>
        </w:rPr>
        <w:t>Sulaimän,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 xml:space="preserve">8 </w:t>
      </w:r>
      <w:r>
        <w:rPr>
          <w:spacing w:val="0"/>
          <w:w w:val="100"/>
          <w:position w:val="0"/>
          <w:shd w:val="clear" w:color="auto" w:fill="auto"/>
          <w:lang w:val="en-US" w:eastAsia="en-US" w:bidi="en-US"/>
        </w:rPr>
        <w:t xml:space="preserve">about the middle of the 12th century, supplemented and abridged by 'Amr ibn </w:t>
      </w:r>
      <w:r>
        <w:rPr>
          <w:spacing w:val="0"/>
          <w:w w:val="100"/>
          <w:position w:val="0"/>
          <w:shd w:val="clear" w:color="auto" w:fill="auto"/>
          <w:lang w:val="fr-FR" w:eastAsia="fr-FR" w:bidi="fr-FR"/>
        </w:rPr>
        <w:t>Matt</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Tirh</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who lived towards the middle of the 14th century),@@</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of 'Abhd-īshō', bishop of Nisibis (died 1318), and of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(died 1286) ; and there appears to be no reason to doubt their word.@@</w:t>
      </w:r>
      <w:r>
        <w:rPr>
          <w:spacing w:val="0"/>
          <w:w w:val="100"/>
          <w:position w:val="0"/>
          <w:shd w:val="clear" w:color="auto" w:fill="auto"/>
          <w:vertAlign w:val="superscript"/>
          <w:lang w:val="en-US" w:eastAsia="en-US" w:bidi="en-US"/>
        </w:rPr>
        <w:t>10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Before quitting the subject of the versions of Holy Scripture we must devote a few words to the Massoretic MSS. of the Nestorians and Jacobites.@@</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In the year 1721 Assemani made mention in the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Orientalis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(ii. 283), on the authority of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Ausar Raze,</w:t>
      </w:r>
      <w:r>
        <w:rPr>
          <w:spacing w:val="0"/>
          <w:w w:val="100"/>
          <w:position w:val="0"/>
          <w:shd w:val="clear" w:color="auto" w:fill="auto"/>
          <w:lang w:val="en-US" w:eastAsia="en-US" w:bidi="en-US"/>
        </w:rPr>
        <w:t xml:space="preserve"> of a “versio </w:t>
      </w:r>
      <w:r>
        <w:rPr>
          <w:i/>
          <w:iCs/>
          <w:spacing w:val="0"/>
          <w:w w:val="100"/>
          <w:position w:val="0"/>
          <w:shd w:val="clear" w:color="auto" w:fill="auto"/>
          <w:lang w:val="en-US" w:eastAsia="en-US" w:bidi="en-US"/>
        </w:rPr>
        <w:t>Karkaphensis,</w:t>
      </w:r>
      <w:r>
        <w:rPr>
          <w:spacing w:val="0"/>
          <w:w w:val="100"/>
          <w:position w:val="0"/>
          <w:shd w:val="clear" w:color="auto" w:fill="auto"/>
          <w:lang w:val="en-US" w:eastAsia="en-US" w:bidi="en-US"/>
        </w:rPr>
        <w:t xml:space="preserve"> hoc </w:t>
      </w:r>
      <w:r>
        <w:rPr>
          <w:spacing w:val="0"/>
          <w:w w:val="100"/>
          <w:position w:val="0"/>
          <w:shd w:val="clear" w:color="auto" w:fill="auto"/>
          <w:lang w:val="fr-FR" w:eastAsia="fr-FR" w:bidi="fr-FR"/>
        </w:rPr>
        <w:t xml:space="preserve">est </w:t>
      </w:r>
      <w:r>
        <w:rPr>
          <w:i/>
          <w:iCs/>
          <w:spacing w:val="0"/>
          <w:w w:val="100"/>
          <w:position w:val="0"/>
          <w:shd w:val="clear" w:color="auto" w:fill="auto"/>
          <w:lang w:val="en-US" w:eastAsia="en-US" w:bidi="en-US"/>
        </w:rPr>
        <w:t>Montana,</w:t>
      </w:r>
      <w:r>
        <w:rPr>
          <w:spacing w:val="0"/>
          <w:w w:val="100"/>
          <w:position w:val="0"/>
          <w:shd w:val="clear" w:color="auto" w:fill="auto"/>
          <w:lang w:val="en-US" w:eastAsia="en-US" w:bidi="en-US"/>
        </w:rPr>
        <w:t xml:space="preserve"> qua videlicet </w:t>
      </w:r>
      <w:r>
        <w:rPr>
          <w:spacing w:val="0"/>
          <w:w w:val="100"/>
          <w:position w:val="0"/>
          <w:shd w:val="clear" w:color="auto" w:fill="auto"/>
          <w:lang w:val="fr-FR" w:eastAsia="fr-FR" w:bidi="fr-FR"/>
        </w:rPr>
        <w:t xml:space="preserve">incolæ </w:t>
      </w:r>
      <w:r>
        <w:rPr>
          <w:spacing w:val="0"/>
          <w:w w:val="100"/>
          <w:position w:val="0"/>
          <w:shd w:val="clear" w:color="auto" w:fill="auto"/>
          <w:lang w:val="la-001" w:eastAsia="la-001" w:bidi="la-001"/>
        </w:rPr>
        <w:t>montium utuntur.”</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About the meaning of these words scholars disputed, and some searched for MSS. of the alleged version, but in vain. At last, N. Wiseman (afterwards cardinal), guided by the light of another passage in the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 xml:space="preserve">Orientalis </w:t>
      </w:r>
      <w:r>
        <w:rPr>
          <w:spacing w:val="0"/>
          <w:w w:val="100"/>
          <w:position w:val="0"/>
          <w:shd w:val="clear" w:color="auto" w:fill="auto"/>
          <w:lang w:val="en-US" w:eastAsia="en-US" w:bidi="en-US"/>
        </w:rPr>
        <w:t>(ii. 499, 500, No. xxii.), recognized in Cod. Vat. eliii. a copy of what he believed to be the Karkaphensian version.@@</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Later re</w:t>
        <w:softHyphen/>
        <w:t xml:space="preserve">searches, more especially those of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Martin, have corrected these errors. The MSS. of the Karkaphensian tradition, of which there are ten in our European libraries, are now known to contain a philological and grammatical tradition of the pronunciation and punctuation of Holy Writ and sometimes of other writings.@@</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Syria was rich in schools and colleges ; most of its towns possessed in</w:t>
        <w:softHyphen/>
        <w:t xml:space="preserve">stitutions where instruction was given, more especially to students of theology, in the reading and exposition of the Greek and Syriac Scriptures and their commentators. Such were the great “ Persian school ”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which was destroyed, on account of its Nestorian tendencies, in 489 ; the school of Nisibis ; of </w:t>
      </w:r>
      <w:r>
        <w:rPr>
          <w:spacing w:val="0"/>
          <w:w w:val="100"/>
          <w:position w:val="0"/>
          <w:shd w:val="clear" w:color="auto" w:fill="auto"/>
          <w:lang w:val="fr-FR" w:eastAsia="fr-FR" w:bidi="fr-FR"/>
        </w:rPr>
        <w:t>Mah</w:t>
      </w:r>
      <w:r>
        <w:rPr>
          <w:spacing w:val="0"/>
          <w:w w:val="100"/>
          <w:position w:val="0"/>
          <w:shd w:val="clear" w:color="auto" w:fill="auto"/>
          <w:lang w:val="en-US" w:eastAsia="en-US" w:bidi="en-US"/>
        </w:rPr>
        <w:t>ō</w:t>
      </w:r>
      <w:r>
        <w:rPr>
          <w:spacing w:val="0"/>
          <w:w w:val="100"/>
          <w:position w:val="0"/>
          <w:shd w:val="clear" w:color="auto" w:fill="auto"/>
          <w:lang w:val="fr-FR" w:eastAsia="fr-FR" w:bidi="fr-FR"/>
        </w:rPr>
        <w:t xml:space="preserve">ze </w:t>
      </w:r>
      <w:r>
        <w:rPr>
          <w:spacing w:val="0"/>
          <w:w w:val="100"/>
          <w:position w:val="0"/>
          <w:shd w:val="clear" w:color="auto" w:fill="auto"/>
          <w:lang w:val="en-US" w:eastAsia="en-US" w:bidi="en-US"/>
        </w:rPr>
        <w:t xml:space="preserve">near Seleucia ; of the monastery of </w:t>
      </w:r>
      <w:r>
        <w:rPr>
          <w:spacing w:val="0"/>
          <w:w w:val="100"/>
          <w:position w:val="0"/>
          <w:shd w:val="clear" w:color="auto" w:fill="auto"/>
          <w:lang w:val="de-DE" w:eastAsia="de-DE" w:bidi="de-DE"/>
        </w:rPr>
        <w:t>D</w:t>
      </w:r>
      <w:r>
        <w:rPr>
          <w:spacing w:val="0"/>
          <w:w w:val="100"/>
          <w:position w:val="0"/>
          <w:shd w:val="clear" w:color="auto" w:fill="auto"/>
          <w:lang w:val="en-US" w:eastAsia="en-US" w:bidi="en-US"/>
        </w:rPr>
        <w:t>ō</w:t>
      </w:r>
      <w:r>
        <w:rPr>
          <w:spacing w:val="0"/>
          <w:w w:val="100"/>
          <w:position w:val="0"/>
          <w:shd w:val="clear" w:color="auto" w:fill="auto"/>
          <w:lang w:val="de-DE" w:eastAsia="de-DE" w:bidi="de-DE"/>
        </w:rPr>
        <w:t>r-K</w:t>
      </w:r>
      <w:r>
        <w:rPr>
          <w:spacing w:val="0"/>
          <w:w w:val="100"/>
          <w:position w:val="0"/>
          <w:shd w:val="clear" w:color="auto" w:fill="auto"/>
          <w:lang w:val="en-US" w:eastAsia="en-US" w:bidi="en-US"/>
        </w:rPr>
        <w:t>ō</w:t>
      </w:r>
      <w:r>
        <w:rPr>
          <w:spacing w:val="0"/>
          <w:w w:val="100"/>
          <w:position w:val="0"/>
          <w:shd w:val="clear" w:color="auto" w:fill="auto"/>
          <w:lang w:val="de-DE" w:eastAsia="de-DE" w:bidi="de-DE"/>
        </w:rPr>
        <w:t xml:space="preserve">ni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Dair-Kunn</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the monastery of </w:t>
      </w:r>
      <w:r>
        <w:rPr>
          <w:spacing w:val="0"/>
          <w:w w:val="100"/>
          <w:position w:val="0"/>
          <w:shd w:val="clear" w:color="auto" w:fill="auto"/>
          <w:lang w:val="fr-FR" w:eastAsia="fr-FR" w:bidi="fr-FR"/>
        </w:rPr>
        <w:t xml:space="preserve">Ken-neshre </w:t>
      </w:r>
      <w:r>
        <w:rPr>
          <w:spacing w:val="0"/>
          <w:w w:val="100"/>
          <w:position w:val="0"/>
          <w:shd w:val="clear" w:color="auto" w:fill="auto"/>
          <w:lang w:val="en-US" w:eastAsia="en-US" w:bidi="en-US"/>
        </w:rPr>
        <w:t xml:space="preserve">or the Eagles’ Nest, on the left bank of the Euphrates, opposite </w:t>
      </w:r>
      <w:r>
        <w:rPr>
          <w:spacing w:val="0"/>
          <w:w w:val="100"/>
          <w:position w:val="0"/>
          <w:shd w:val="clear" w:color="auto" w:fill="auto"/>
          <w:lang w:val="fr-FR" w:eastAsia="fr-FR" w:bidi="fr-FR"/>
        </w:rPr>
        <w:t>Jer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bis </w:t>
      </w:r>
      <w:r>
        <w:rPr>
          <w:spacing w:val="0"/>
          <w:w w:val="100"/>
          <w:position w:val="0"/>
          <w:shd w:val="clear" w:color="auto" w:fill="auto"/>
          <w:lang w:val="en-US" w:eastAsia="en-US" w:bidi="en-US"/>
        </w:rPr>
        <w:t xml:space="preserve">; of the </w:t>
      </w:r>
      <w:r>
        <w:rPr>
          <w:spacing w:val="0"/>
          <w:w w:val="100"/>
          <w:position w:val="0"/>
          <w:shd w:val="clear" w:color="auto" w:fill="auto"/>
          <w:lang w:val="fr-FR" w:eastAsia="fr-FR" w:bidi="fr-FR"/>
        </w:rPr>
        <w:t>Dair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'Ell</w:t>
      </w:r>
      <w:r>
        <w:rPr>
          <w:spacing w:val="0"/>
          <w:w w:val="100"/>
          <w:position w:val="0"/>
          <w:shd w:val="clear" w:color="auto" w:fill="auto"/>
          <w:lang w:val="en-US" w:eastAsia="en-US" w:bidi="en-US"/>
        </w:rPr>
        <w:t>ā</w:t>
      </w:r>
      <w:r>
        <w:rPr>
          <w:spacing w:val="0"/>
          <w:w w:val="100"/>
          <w:position w:val="0"/>
          <w:shd w:val="clear" w:color="auto" w:fill="auto"/>
          <w:lang w:val="de-DE" w:eastAsia="de-DE" w:bidi="de-DE"/>
        </w:rPr>
        <w:t>it</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monastery of St Gabriel and St Abraham, at Mosul ; and many others.@@</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Every such school or college had its teachers of reading and elocution, </w:t>
      </w:r>
      <w:r>
        <w:rPr>
          <w:i/>
          <w:iCs/>
          <w:spacing w:val="0"/>
          <w:w w:val="100"/>
          <w:position w:val="0"/>
          <w:shd w:val="clear" w:color="auto" w:fill="auto"/>
          <w:lang w:val="fr-FR" w:eastAsia="fr-FR" w:bidi="fr-FR"/>
        </w:rPr>
        <w:t>mahg</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y</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nê</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makr</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y</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de-DE" w:eastAsia="de-DE" w:bidi="de-DE"/>
        </w:rPr>
        <w:t>makeryäme),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who taught their pupils to pronounce, add the vowel-points, and interpunctuate correctly,@@</w:t>
      </w:r>
      <w:r>
        <w:rPr>
          <w:spacing w:val="0"/>
          <w:w w:val="100"/>
          <w:position w:val="0"/>
          <w:shd w:val="clear" w:color="auto" w:fill="auto"/>
          <w:vertAlign w:val="superscript"/>
          <w:lang w:val="en-US" w:eastAsia="en-US" w:bidi="en-US"/>
        </w:rPr>
        <w:t>16</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before they were passed on to the higher classes of the </w:t>
      </w:r>
      <w:r>
        <w:rPr>
          <w:i/>
          <w:iCs/>
          <w:spacing w:val="0"/>
          <w:w w:val="100"/>
          <w:position w:val="0"/>
          <w:shd w:val="clear" w:color="auto" w:fill="auto"/>
          <w:lang w:val="de-DE" w:eastAsia="de-DE" w:bidi="de-DE"/>
        </w:rPr>
        <w:t>eskol</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 xml:space="preserve">ye' </w:t>
      </w:r>
      <w:r>
        <w:rPr>
          <w:i/>
          <w:iCs/>
          <w:spacing w:val="0"/>
          <w:w w:val="100"/>
          <w:position w:val="0"/>
          <w:shd w:val="clear" w:color="auto" w:fill="auto"/>
          <w:lang w:val="fr-FR" w:eastAsia="fr-FR" w:bidi="fr-FR"/>
        </w:rPr>
        <w:t>b</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dhoke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fr-FR" w:eastAsia="fr-FR" w:bidi="fr-FR"/>
        </w:rPr>
        <w:t>mall</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ph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that is, the professors of exegesis and doctors of theology.@@</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The more difficult words and phrases of Scripture were gradually collected and written down so as to form “ collect</w:t>
        <w:softHyphen/>
        <w:t xml:space="preserve">anea,” </w:t>
      </w:r>
      <w:r>
        <w:rPr>
          <w:i/>
          <w:iCs/>
          <w:spacing w:val="0"/>
          <w:w w:val="100"/>
          <w:position w:val="0"/>
          <w:shd w:val="clear" w:color="auto" w:fill="auto"/>
          <w:lang w:val="fr-FR" w:eastAsia="fr-FR" w:bidi="fr-FR"/>
        </w:rPr>
        <w:t>lukk</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te dha-sh</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m</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he,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“fasciculi,” </w:t>
      </w:r>
      <w:r>
        <w:rPr>
          <w:i/>
          <w:iCs/>
          <w:spacing w:val="0"/>
          <w:w w:val="100"/>
          <w:position w:val="0"/>
          <w:shd w:val="clear" w:color="auto" w:fill="auto"/>
          <w:lang w:val="de-DE" w:eastAsia="de-DE" w:bidi="de-DE"/>
        </w:rPr>
        <w:t>kurr</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 xml:space="preserve">se </w:t>
      </w:r>
      <w:r>
        <w:rPr>
          <w:i/>
          <w:iCs/>
          <w:spacing w:val="0"/>
          <w:w w:val="100"/>
          <w:position w:val="0"/>
          <w:shd w:val="clear" w:color="auto" w:fill="auto"/>
          <w:lang w:val="fr-FR" w:eastAsia="fr-FR" w:bidi="fr-FR"/>
        </w:rPr>
        <w:t>dha-sh</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rn</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he, </w:t>
      </w:r>
      <w:r>
        <w:rPr>
          <w:spacing w:val="0"/>
          <w:w w:val="100"/>
          <w:position w:val="0"/>
          <w:shd w:val="clear" w:color="auto" w:fill="auto"/>
          <w:lang w:val="en-US" w:eastAsia="en-US" w:bidi="en-US"/>
        </w:rPr>
        <w:t xml:space="preserve">and the union of these composed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k</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th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bh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 dha-k</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r</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y</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th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“book of readings,” in which it was shown by means of vowel-points and other signs how each word was to be pronounced and accentuated.@@</w:t>
      </w:r>
      <w:r>
        <w:rPr>
          <w:spacing w:val="0"/>
          <w:w w:val="100"/>
          <w:position w:val="0"/>
          <w:shd w:val="clear" w:color="auto" w:fill="auto"/>
          <w:vertAlign w:val="superscript"/>
          <w:lang w:val="en-US" w:eastAsia="en-US" w:bidi="en-US"/>
        </w:rPr>
        <w:t xml:space="preserve">18 </w:t>
      </w:r>
      <w:r>
        <w:rPr>
          <w:spacing w:val="0"/>
          <w:w w:val="100"/>
          <w:position w:val="0"/>
          <w:shd w:val="clear" w:color="auto" w:fill="auto"/>
          <w:lang w:val="en-US" w:eastAsia="en-US" w:bidi="en-US"/>
        </w:rPr>
        <w:t xml:space="preserve">One such volume in the British Museum (Add. 12138, dated 899) represents the work of a Nestorian student in the convent of </w:t>
      </w:r>
      <w:r>
        <w:rPr>
          <w:spacing w:val="0"/>
          <w:w w:val="100"/>
          <w:position w:val="0"/>
          <w:shd w:val="clear" w:color="auto" w:fill="auto"/>
          <w:lang w:val="de-DE" w:eastAsia="de-DE" w:bidi="de-DE"/>
        </w:rPr>
        <w:t xml:space="preserve">Mär </w:t>
      </w:r>
      <w:r>
        <w:rPr>
          <w:spacing w:val="0"/>
          <w:w w:val="100"/>
          <w:position w:val="0"/>
          <w:shd w:val="clear" w:color="auto" w:fill="auto"/>
          <w:lang w:val="en-US" w:eastAsia="en-US" w:bidi="en-US"/>
        </w:rPr>
        <w:t xml:space="preserve">Gabriel at </w:t>
      </w:r>
      <w:r>
        <w:rPr>
          <w:spacing w:val="0"/>
          <w:w w:val="100"/>
          <w:position w:val="0"/>
          <w:shd w:val="clear" w:color="auto" w:fill="auto"/>
          <w:lang w:val="de-DE" w:eastAsia="de-DE" w:bidi="de-DE"/>
        </w:rPr>
        <w:t>Harr</w:t>
      </w:r>
      <w:r>
        <w:rPr>
          <w:spacing w:val="0"/>
          <w:w w:val="100"/>
          <w:position w:val="0"/>
          <w:shd w:val="clear" w:color="auto" w:fill="auto"/>
          <w:lang w:val="en-US" w:eastAsia="en-US" w:bidi="en-US"/>
        </w:rPr>
        <w:t>ā</w:t>
      </w:r>
      <w:r>
        <w:rPr>
          <w:spacing w:val="0"/>
          <w:w w:val="100"/>
          <w:position w:val="0"/>
          <w:shd w:val="clear" w:color="auto" w:fill="auto"/>
          <w:lang w:val="de-DE" w:eastAsia="de-DE" w:bidi="de-DE"/>
        </w:rPr>
        <w:t>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19</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but the other MSS. extant in the different libraries of Europe@@</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are of Jacobite origin and have a common source, the scholastic tradition of the convent of </w:t>
      </w:r>
      <w:r>
        <w:rPr>
          <w:spacing w:val="0"/>
          <w:w w:val="100"/>
          <w:position w:val="0"/>
          <w:shd w:val="clear" w:color="auto" w:fill="auto"/>
          <w:lang w:val="fr-FR" w:eastAsia="fr-FR" w:bidi="fr-FR"/>
        </w:rPr>
        <w:t>Karkapheth</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“the Skuli,” at the village of Maghdal or Mijdal near </w:t>
      </w:r>
      <w:r>
        <w:rPr>
          <w:spacing w:val="0"/>
          <w:w w:val="100"/>
          <w:position w:val="0"/>
          <w:shd w:val="clear" w:color="auto" w:fill="auto"/>
          <w:lang w:val="fr-FR" w:eastAsia="fr-FR" w:bidi="fr-FR"/>
        </w:rPr>
        <w:t>Resh-'ain</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Räs-'ain.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Such are, for example, Cod. Vat., No. clii., now cliii., described by Assemani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287) and Wiseman 9</w:t>
      </w:r>
      <w:r>
        <w:rPr>
          <w:i/>
          <w:iCs/>
          <w:spacing w:val="0"/>
          <w:w w:val="100"/>
          <w:position w:val="0"/>
          <w:shd w:val="clear" w:color="auto" w:fill="auto"/>
          <w:lang w:val="fr-FR" w:eastAsia="fr-FR" w:bidi="fr-FR"/>
        </w:rPr>
        <w:t xml:space="preserve">Horæ </w:t>
      </w:r>
      <w:r>
        <w:rPr>
          <w:i/>
          <w:iCs/>
          <w:spacing w:val="0"/>
          <w:w w:val="100"/>
          <w:position w:val="0"/>
          <w:shd w:val="clear" w:color="auto" w:fill="auto"/>
          <w:lang w:val="en-US" w:eastAsia="en-US" w:bidi="en-US"/>
        </w:rPr>
        <w:t>Syr.,</w:t>
      </w:r>
      <w:r>
        <w:rPr>
          <w:spacing w:val="0"/>
          <w:w w:val="100"/>
          <w:position w:val="0"/>
          <w:shd w:val="clear" w:color="auto" w:fill="auto"/>
          <w:lang w:val="en-US" w:eastAsia="en-US" w:bidi="en-US"/>
        </w:rPr>
        <w:t xml:space="preserve"> p. 151); Cod. Paris, </w:t>
      </w:r>
      <w:r>
        <w:rPr>
          <w:spacing w:val="0"/>
          <w:w w:val="100"/>
          <w:position w:val="0"/>
          <w:shd w:val="clear" w:color="auto" w:fill="auto"/>
          <w:lang w:val="fr-FR" w:eastAsia="fr-FR" w:bidi="fr-FR"/>
        </w:rPr>
        <w:t xml:space="preserve">Ancien fonds </w:t>
      </w:r>
      <w:r>
        <w:rPr>
          <w:spacing w:val="0"/>
          <w:w w:val="100"/>
          <w:position w:val="0"/>
          <w:shd w:val="clear" w:color="auto" w:fill="auto"/>
          <w:lang w:val="en-US" w:eastAsia="en-US" w:bidi="en-US"/>
        </w:rPr>
        <w:t xml:space="preserve">142, described by Zoten- berg </w:t>
      </w:r>
      <w:r>
        <w:rPr>
          <w:i/>
          <w:iCs/>
          <w:spacing w:val="0"/>
          <w:w w:val="100"/>
          <w:position w:val="0"/>
          <w:shd w:val="clear" w:color="auto" w:fill="auto"/>
          <w:lang w:val="en-US" w:eastAsia="en-US" w:bidi="en-US"/>
        </w:rPr>
        <w:t>(fatal.,</w:t>
      </w:r>
      <w:r>
        <w:rPr>
          <w:spacing w:val="0"/>
          <w:w w:val="100"/>
          <w:position w:val="0"/>
          <w:shd w:val="clear" w:color="auto" w:fill="auto"/>
          <w:lang w:val="en-US" w:eastAsia="en-US" w:bidi="en-US"/>
        </w:rPr>
        <w:t xml:space="preserve"> p. 30, No. 64) and Martin (</w:t>
      </w:r>
      <w:r>
        <w:rPr>
          <w:i/>
          <w:iCs/>
          <w:spacing w:val="0"/>
          <w:w w:val="100"/>
          <w:position w:val="0"/>
          <w:shd w:val="clear" w:color="auto" w:fill="auto"/>
          <w:lang w:val="en-US" w:eastAsia="en-US" w:bidi="en-US"/>
        </w:rPr>
        <w:t xml:space="preserve">Tradition Karkaphienne, </w:t>
      </w:r>
      <w:r>
        <w:rPr>
          <w:spacing w:val="0"/>
          <w:w w:val="100"/>
          <w:position w:val="0"/>
          <w:shd w:val="clear" w:color="auto" w:fill="auto"/>
          <w:lang w:val="en-US" w:eastAsia="en-US" w:bidi="en-US"/>
        </w:rPr>
        <w:t xml:space="preserve">p. 36) ; Cod.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7183, described by Rosen </w:t>
      </w:r>
      <w:r>
        <w:rPr>
          <w:i/>
          <w:iCs/>
          <w:spacing w:val="0"/>
          <w:w w:val="100"/>
          <w:position w:val="0"/>
          <w:shd w:val="clear" w:color="auto" w:fill="auto"/>
          <w:lang w:val="en-US" w:eastAsia="en-US" w:bidi="en-US"/>
        </w:rPr>
        <w:t xml:space="preserve">(Catal., </w:t>
      </w:r>
      <w:r>
        <w:rPr>
          <w:spacing w:val="0"/>
          <w:w w:val="100"/>
          <w:position w:val="0"/>
          <w:shd w:val="clear" w:color="auto" w:fill="auto"/>
          <w:lang w:val="en-US" w:eastAsia="en-US" w:bidi="en-US"/>
        </w:rPr>
        <w:t xml:space="preserve">p. 64, No. xlii.), and 12178, described by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108). From these and similar MSS., as well as from the words of Bar- Hebræus,@@</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it appears that the </w:t>
      </w:r>
      <w:r>
        <w:rPr>
          <w:spacing w:val="0"/>
          <w:w w:val="100"/>
          <w:position w:val="0"/>
          <w:shd w:val="clear" w:color="auto" w:fill="auto"/>
          <w:lang w:val="fr-FR" w:eastAsia="fr-FR" w:bidi="fr-FR"/>
        </w:rPr>
        <w:t>Karkeph</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ye </w:t>
      </w:r>
      <w:r>
        <w:rPr>
          <w:spacing w:val="0"/>
          <w:w w:val="100"/>
          <w:position w:val="0"/>
          <w:shd w:val="clear" w:color="auto" w:fill="auto"/>
          <w:lang w:val="en-US" w:eastAsia="en-US" w:bidi="en-US"/>
        </w:rPr>
        <w:t xml:space="preserve">were the monks of the convent of </w:t>
      </w:r>
      <w:r>
        <w:rPr>
          <w:spacing w:val="0"/>
          <w:w w:val="100"/>
          <w:position w:val="0"/>
          <w:shd w:val="clear" w:color="auto" w:fill="auto"/>
          <w:lang w:val="fr-FR" w:eastAsia="fr-FR" w:bidi="fr-FR"/>
        </w:rPr>
        <w:t>Karkapheth</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that they were Westerns or Occidentals, therefore Jacobites ; and that one of their chief authorities, if not the actual originator of the compilation, was Jacob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Accordingly, the marginal notes indicate various readings from Syriac MSS., from the LXX., and from the Harklensian version, as well as from different fathers and teachers.@@</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To the collection of words and phrases from the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sh</w:t>
      </w:r>
      <w:r>
        <w:rPr>
          <w:spacing w:val="0"/>
          <w:w w:val="100"/>
          <w:position w:val="0"/>
          <w:shd w:val="clear" w:color="auto" w:fill="auto"/>
          <w:lang w:val="en-US" w:eastAsia="en-US" w:bidi="en-US"/>
        </w:rPr>
        <w:t>ī</w:t>
      </w:r>
      <w:r>
        <w:rPr>
          <w:spacing w:val="0"/>
          <w:w w:val="100"/>
          <w:position w:val="0"/>
          <w:shd w:val="clear" w:color="auto" w:fill="auto"/>
          <w:lang w:val="fr-FR" w:eastAsia="fr-FR" w:bidi="fr-FR"/>
        </w:rPr>
        <w:t>tt</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version is added in several of these MSS. a similar, though shorter, collection from the Hark</w:t>
        <w:softHyphen/>
        <w:t>lensian version and from the principal works of the Greek fathers which were read in translations in the schools,@@</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followed by tracts on different points of orthography, grammar and punctuation.@@</w:t>
      </w:r>
      <w:r>
        <w:rPr>
          <w:spacing w:val="0"/>
          <w:w w:val="100"/>
          <w:position w:val="0"/>
          <w:shd w:val="clear" w:color="auto" w:fill="auto"/>
          <w:vertAlign w:val="superscript"/>
          <w:lang w:val="en-US" w:eastAsia="en-US" w:bidi="en-US"/>
        </w:rPr>
        <w:t>25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We have spoken above (p. 824) of the deutero-canonical books of the Old Testament. Other apocrypha may now be noticed more briefly ;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Ps. cli. (in the hexaplar version of Paul of Telia) ; the </w:t>
      </w:r>
      <w:r>
        <w:rPr>
          <w:i/>
          <w:iCs/>
          <w:spacing w:val="0"/>
          <w:w w:val="100"/>
          <w:position w:val="0"/>
          <w:shd w:val="clear" w:color="auto" w:fill="auto"/>
          <w:lang w:val="la-001" w:eastAsia="la-001" w:bidi="la-001"/>
        </w:rPr>
        <w:t xml:space="preserve">Parva </w:t>
      </w:r>
      <w:r>
        <w:rPr>
          <w:i/>
          <w:iCs/>
          <w:spacing w:val="0"/>
          <w:w w:val="100"/>
          <w:position w:val="0"/>
          <w:shd w:val="clear" w:color="auto" w:fill="auto"/>
          <w:lang w:val="en-US" w:eastAsia="en-US" w:bidi="en-US"/>
        </w:rPr>
        <w:t>Genesis,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Liber </w:t>
      </w:r>
      <w:r>
        <w:rPr>
          <w:i/>
          <w:iCs/>
          <w:spacing w:val="0"/>
          <w:w w:val="100"/>
          <w:position w:val="0"/>
          <w:shd w:val="clear" w:color="auto" w:fill="auto"/>
          <w:lang w:val="fr-FR" w:eastAsia="fr-FR" w:bidi="fr-FR"/>
        </w:rPr>
        <w:t>Jubilæorum,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fragment of which has been edited by Ceriani </w:t>
      </w:r>
      <w:r>
        <w:rPr>
          <w:i/>
          <w:iCs/>
          <w:spacing w:val="0"/>
          <w:w w:val="100"/>
          <w:position w:val="0"/>
          <w:shd w:val="clear" w:color="auto" w:fill="auto"/>
          <w:lang w:val="la-001" w:eastAsia="la-001" w:bidi="la-001"/>
        </w:rPr>
        <w:t>(Monumenta,</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ii. </w:t>
      </w:r>
      <w:r>
        <w:rPr>
          <w:spacing w:val="0"/>
          <w:w w:val="100"/>
          <w:position w:val="0"/>
          <w:shd w:val="clear" w:color="auto" w:fill="auto"/>
          <w:lang w:val="de-DE" w:eastAsia="de-DE" w:bidi="de-DE"/>
        </w:rPr>
        <w:t xml:space="preserve">fasc. </w:t>
      </w:r>
      <w:r>
        <w:rPr>
          <w:spacing w:val="0"/>
          <w:w w:val="100"/>
          <w:position w:val="0"/>
          <w:shd w:val="clear" w:color="auto" w:fill="auto"/>
          <w:lang w:val="en-US" w:eastAsia="en-US" w:bidi="en-US"/>
        </w:rPr>
        <w:t xml:space="preserve">1, </w:t>
      </w:r>
      <w:r>
        <w:rPr>
          <w:spacing w:val="0"/>
          <w:w w:val="100"/>
          <w:position w:val="0"/>
          <w:shd w:val="clear" w:color="auto" w:fill="auto"/>
          <w:lang w:val="la-001" w:eastAsia="la-001" w:bidi="la-001"/>
        </w:rPr>
        <w:t xml:space="preserve">p. </w:t>
      </w:r>
      <w:r>
        <w:rPr>
          <w:spacing w:val="0"/>
          <w:w w:val="100"/>
          <w:position w:val="0"/>
          <w:shd w:val="clear" w:color="auto" w:fill="auto"/>
          <w:lang w:val="de-DE" w:eastAsia="de-DE" w:bidi="de-DE"/>
        </w:rPr>
        <w:t xml:space="preserve">ix.) ; </w:t>
      </w: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Testament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Adam</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26</w:t>
      </w:r>
      <w:r>
        <w:rPr>
          <w:spacing w:val="0"/>
          <w:w w:val="100"/>
          <w:position w:val="0"/>
          <w:shd w:val="clear" w:color="auto" w:fill="auto"/>
          <w:lang w:val="de-DE" w:eastAsia="de-DE" w:bidi="de-DE"/>
        </w:rPr>
        <w:t xml:space="preserve"> ; </w:t>
      </w:r>
      <w:r>
        <w:rPr>
          <w:spacing w:val="0"/>
          <w:w w:val="100"/>
          <w:position w:val="0"/>
          <w:shd w:val="clear" w:color="auto" w:fill="auto"/>
          <w:lang w:val="en-US" w:eastAsia="en-US" w:bidi="en-US"/>
        </w:rPr>
        <w:t xml:space="preserve">the History of Joseph and </w:t>
      </w:r>
      <w:r>
        <w:rPr>
          <w:spacing w:val="0"/>
          <w:w w:val="100"/>
          <w:position w:val="0"/>
          <w:shd w:val="clear" w:color="auto" w:fill="auto"/>
          <w:lang w:val="fr-FR" w:eastAsia="fr-FR" w:bidi="fr-FR"/>
        </w:rPr>
        <w:t xml:space="preserve">Âsyath </w:t>
      </w:r>
      <w:r>
        <w:rPr>
          <w:spacing w:val="0"/>
          <w:w w:val="100"/>
          <w:position w:val="0"/>
          <w:shd w:val="clear" w:color="auto" w:fill="auto"/>
          <w:lang w:val="en-US" w:eastAsia="en-US" w:bidi="en-US"/>
        </w:rPr>
        <w:t xml:space="preserve">(Asenath), translated by Moses of </w:t>
      </w:r>
      <w:r>
        <w:rPr>
          <w:spacing w:val="0"/>
          <w:w w:val="100"/>
          <w:position w:val="0"/>
          <w:shd w:val="clear" w:color="auto" w:fill="auto"/>
          <w:lang w:val="fr-FR" w:eastAsia="fr-FR" w:bidi="fr-FR"/>
        </w:rPr>
        <w:t>Aggel</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27</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History of </w:t>
      </w:r>
      <w:r>
        <w:rPr>
          <w:spacing w:val="0"/>
          <w:w w:val="100"/>
          <w:position w:val="0"/>
          <w:shd w:val="clear" w:color="auto" w:fill="auto"/>
          <w:lang w:val="fr-FR" w:eastAsia="fr-FR" w:bidi="fr-FR"/>
        </w:rPr>
        <w:t xml:space="preserve">Sanherib, </w:t>
      </w:r>
      <w:r>
        <w:rPr>
          <w:spacing w:val="0"/>
          <w:w w:val="100"/>
          <w:position w:val="0"/>
          <w:shd w:val="clear" w:color="auto" w:fill="auto"/>
          <w:lang w:val="en-US" w:eastAsia="en-US" w:bidi="en-US"/>
        </w:rPr>
        <w:t xml:space="preserve">his Vizir </w:t>
      </w:r>
      <w:r>
        <w:rPr>
          <w:spacing w:val="0"/>
          <w:w w:val="100"/>
          <w:position w:val="0"/>
          <w:shd w:val="clear" w:color="auto" w:fill="auto"/>
          <w:lang w:val="fr-FR" w:eastAsia="fr-FR" w:bidi="fr-FR"/>
        </w:rPr>
        <w:t>Ahik</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Hik</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r, </w:t>
      </w:r>
      <w:r>
        <w:rPr>
          <w:spacing w:val="0"/>
          <w:w w:val="100"/>
          <w:position w:val="0"/>
          <w:shd w:val="clear" w:color="auto" w:fill="auto"/>
          <w:lang w:val="en-US" w:eastAsia="en-US" w:bidi="en-US"/>
        </w:rPr>
        <w:t xml:space="preserve">and his Disciple </w:t>
      </w:r>
      <w:r>
        <w:rPr>
          <w:spacing w:val="0"/>
          <w:w w:val="100"/>
          <w:position w:val="0"/>
          <w:shd w:val="clear" w:color="auto" w:fill="auto"/>
          <w:lang w:val="de-DE" w:eastAsia="de-DE" w:bidi="de-DE"/>
        </w:rPr>
        <w:t>Nädhän.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28</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Many similar books exist in Arabic, some of them probably translated from lost Syriac originals. The names of Daniel and Ezra “the scribe” are prefixed to late apocalyptic works,@@</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and even to almanacs containing prognostica</w:t>
        <w:softHyphen/>
        <w:t>tions of the weather, &amp;c.@@</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The list of apocrypha of the New Testa</w:t>
        <w:softHyphen/>
        <w:t xml:space="preserve">ment is also tolerably extensive. We may mention the </w:t>
      </w:r>
      <w:r>
        <w:rPr>
          <w:i/>
          <w:iCs/>
          <w:spacing w:val="0"/>
          <w:w w:val="100"/>
          <w:position w:val="0"/>
          <w:shd w:val="clear" w:color="auto" w:fill="auto"/>
          <w:lang w:val="en-US" w:eastAsia="en-US" w:bidi="en-US"/>
        </w:rPr>
        <w:t>Prot- evangelium Jacobi</w:t>
      </w:r>
      <w:r>
        <w:rPr>
          <w:spacing w:val="0"/>
          <w:w w:val="100"/>
          <w:position w:val="0"/>
          <w:shd w:val="clear" w:color="auto" w:fill="auto"/>
          <w:lang w:val="en-US" w:eastAsia="en-US" w:bidi="en-US"/>
        </w:rPr>
        <w:t xml:space="preserve"> ; the Gospel of Thomas the Israelite, or of the Infancy of our Lord ; the Letters of Abgar and our Lord ; the Letters of Herod and Pilate ; prayers ascribed to St John the Baptist ; the </w:t>
      </w:r>
      <w:r>
        <w:rPr>
          <w:i/>
          <w:iCs/>
          <w:spacing w:val="0"/>
          <w:w w:val="100"/>
          <w:position w:val="0"/>
          <w:shd w:val="clear" w:color="auto" w:fill="auto"/>
          <w:lang w:val="la-001" w:eastAsia="la-001" w:bidi="la-001"/>
        </w:rPr>
        <w:t>Transitus, Assumptio,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K</w:t>
      </w:r>
      <w:r>
        <w:rPr>
          <w:i/>
          <w:iCs/>
          <w:spacing w:val="0"/>
          <w:w w:val="100"/>
          <w:position w:val="0"/>
          <w:shd w:val="clear" w:color="auto" w:fill="auto"/>
          <w:lang w:val="en-US" w:eastAsia="en-US" w:bidi="en-US"/>
        </w:rPr>
        <w:t>o</w:t>
      </w:r>
      <w:r>
        <w:rPr>
          <w:i/>
          <w:iCs/>
          <w:spacing w:val="0"/>
          <w:w w:val="100"/>
          <w:position w:val="0"/>
          <w:shd w:val="clear" w:color="auto" w:fill="auto"/>
          <w:lang w:val="en-US" w:eastAsia="en-US" w:bidi="en-US"/>
        </w:rPr>
        <w:t>ιμηoις</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Beatæ </w:t>
      </w:r>
      <w:r>
        <w:rPr>
          <w:i/>
          <w:iCs/>
          <w:spacing w:val="0"/>
          <w:w w:val="100"/>
          <w:position w:val="0"/>
          <w:shd w:val="clear" w:color="auto" w:fill="auto"/>
          <w:lang w:val="la-001" w:eastAsia="la-001" w:bidi="la-001"/>
        </w:rPr>
        <w:t>Virginis,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extant in four or five redactions@@</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 Acts of the Apostles, such as St John, St Philip, St Matthew and St Andrew, St Paul and Thecla, and St Thomas@@</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 the Doctrine of St Peter@@</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 and the Apocalypse of St Paul.@@</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Others</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Nöldeke,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xxii. (1868), p. 443 </w:t>
      </w:r>
      <w:r>
        <w:rPr>
          <w:i/>
          <w:iCs/>
          <w:spacing w:val="0"/>
          <w:w w:val="100"/>
          <w:position w:val="0"/>
          <w:shd w:val="clear" w:color="auto" w:fill="auto"/>
          <w:lang w:val="en-US" w:eastAsia="en-US" w:bidi="en-US"/>
        </w:rPr>
        <w:t>sq.</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MSS. Cοdd. Bibl. Apοst. Vatic. </w:t>
      </w:r>
      <w:r>
        <w:rPr>
          <w:i/>
          <w:iCs/>
          <w:spacing w:val="0"/>
          <w:w w:val="100"/>
          <w:position w:val="0"/>
          <w:shd w:val="clear" w:color="auto" w:fill="auto"/>
          <w:lang w:val="la-001" w:eastAsia="la-001" w:bidi="la-001"/>
        </w:rPr>
        <w:t>Catalogus,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ii. No. xix. p. 70 </w:t>
      </w:r>
      <w:r>
        <w:rPr>
          <w:i/>
          <w:iCs/>
          <w:spacing w:val="0"/>
          <w:w w:val="100"/>
          <w:position w:val="0"/>
          <w:shd w:val="clear" w:color="auto" w:fill="auto"/>
          <w:lang w:val="en-US" w:eastAsia="en-US" w:bidi="en-US"/>
        </w:rPr>
        <w:t>sq.</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N. </w:t>
      </w:r>
      <w:r>
        <w:rPr>
          <w:i/>
          <w:iCs/>
          <w:spacing w:val="0"/>
          <w:w w:val="100"/>
          <w:position w:val="0"/>
          <w:shd w:val="clear" w:color="auto" w:fill="auto"/>
          <w:lang w:val="en-US" w:eastAsia="en-US" w:bidi="en-US"/>
        </w:rPr>
        <w:t xml:space="preserve">Test. Verss. </w:t>
      </w:r>
      <w:r>
        <w:rPr>
          <w:i/>
          <w:iCs/>
          <w:spacing w:val="0"/>
          <w:w w:val="100"/>
          <w:position w:val="0"/>
          <w:shd w:val="clear" w:color="auto" w:fill="auto"/>
          <w:lang w:val="fr-FR" w:eastAsia="fr-FR" w:bidi="fr-FR"/>
        </w:rPr>
        <w:t xml:space="preserve">Syriacæ </w:t>
      </w:r>
      <w:r>
        <w:rPr>
          <w:i/>
          <w:iCs/>
          <w:spacing w:val="0"/>
          <w:w w:val="100"/>
          <w:position w:val="0"/>
          <w:shd w:val="clear" w:color="auto" w:fill="auto"/>
          <w:lang w:val="en-US" w:eastAsia="en-US" w:bidi="en-US"/>
        </w:rPr>
        <w:t xml:space="preserve">Simplex, Philοxeniana, et </w:t>
      </w:r>
      <w:r>
        <w:rPr>
          <w:i/>
          <w:iCs/>
          <w:spacing w:val="0"/>
          <w:w w:val="100"/>
          <w:position w:val="0"/>
          <w:shd w:val="clear" w:color="auto" w:fill="auto"/>
          <w:lang w:val="la-001" w:eastAsia="la-001" w:bidi="la-001"/>
        </w:rPr>
        <w:t>Hierosolymitana,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Copen</w:t>
        <w:softHyphen/>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 xml:space="preserve">hagen, 1789 ; see also Martin, </w:t>
      </w:r>
      <w:r>
        <w:rPr>
          <w:i/>
          <w:iCs/>
          <w:spacing w:val="0"/>
          <w:w w:val="100"/>
          <w:position w:val="0"/>
          <w:shd w:val="clear" w:color="auto" w:fill="auto"/>
          <w:lang w:val="en-US" w:eastAsia="en-US" w:bidi="en-US"/>
        </w:rPr>
        <w:t>Introd.,</w:t>
      </w:r>
      <w:r>
        <w:rPr>
          <w:spacing w:val="0"/>
          <w:w w:val="100"/>
          <w:position w:val="0"/>
          <w:shd w:val="clear" w:color="auto" w:fill="auto"/>
          <w:lang w:val="en-US" w:eastAsia="en-US" w:bidi="en-US"/>
        </w:rPr>
        <w:t xml:space="preserve"> p. 237 </w:t>
      </w:r>
      <w:r>
        <w:rPr>
          <w:i/>
          <w:iCs/>
          <w:spacing w:val="0"/>
          <w:w w:val="100"/>
          <w:position w:val="0"/>
          <w:shd w:val="clear" w:color="auto" w:fill="auto"/>
          <w:lang w:val="en-US" w:eastAsia="en-US" w:bidi="en-US"/>
        </w:rPr>
        <w:t>sq.</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Nöldeke,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pp. 521, 527 ; Land, </w:t>
      </w:r>
      <w:r>
        <w:rPr>
          <w:i/>
          <w:iCs/>
          <w:spacing w:val="0"/>
          <w:w w:val="100"/>
          <w:position w:val="0"/>
          <w:shd w:val="clear" w:color="auto" w:fill="auto"/>
          <w:lang w:val="en-US" w:eastAsia="en-US" w:bidi="en-US"/>
        </w:rPr>
        <w:t>A necd. Syr.,</w:t>
      </w:r>
      <w:r>
        <w:rPr>
          <w:spacing w:val="0"/>
          <w:w w:val="100"/>
          <w:position w:val="0"/>
          <w:shd w:val="clear" w:color="auto" w:fill="auto"/>
          <w:lang w:val="en-US" w:eastAsia="en-US" w:bidi="en-US"/>
        </w:rPr>
        <w:t xml:space="preserve"> iv. pp. 227-229.</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The remaining literature in this dialect (all of it published by Land) con</w:t>
        <w:softHyphen/>
      </w:r>
    </w:p>
    <w:p>
      <w:pPr>
        <w:pStyle w:val="Style6"/>
        <w:keepNext w:val="0"/>
        <w:keepLines w:val="0"/>
        <w:widowControl w:val="0"/>
        <w:shd w:val="clear" w:color="auto" w:fill="auto"/>
        <w:tabs>
          <w:tab w:pos="2754" w:val="left"/>
        </w:tabs>
        <w:bidi w:val="0"/>
        <w:spacing w:line="192" w:lineRule="auto"/>
        <w:ind w:left="0" w:firstLine="0"/>
        <w:jc w:val="left"/>
      </w:pPr>
      <w:r>
        <w:rPr>
          <w:spacing w:val="0"/>
          <w:w w:val="100"/>
          <w:position w:val="0"/>
          <w:shd w:val="clear" w:color="auto" w:fill="auto"/>
          <w:lang w:val="en-US" w:eastAsia="en-US" w:bidi="en-US"/>
        </w:rPr>
        <w:t>sists of a few hymns (pp. 111-113), lives of saints (pp. 169,170), and theological fragments (pp. 171-210). One fragment (p. 177) contains the title of a homily of John Chrysostom.</w:t>
        <w:tab/>
      </w:r>
    </w:p>
    <w:p>
      <w:pPr>
        <w:pStyle w:val="Style6"/>
        <w:keepNext w:val="0"/>
        <w:keepLines w:val="0"/>
        <w:widowControl w:val="0"/>
        <w:shd w:val="clear" w:color="auto" w:fill="auto"/>
        <w:tabs>
          <w:tab w:pos="2754" w:val="left"/>
        </w:tabs>
        <w:bidi w:val="0"/>
        <w:spacing w:line="192" w:lineRule="auto"/>
        <w:ind w:left="0" w:firstLine="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Properly </w:t>
      </w:r>
      <w:r>
        <w:rPr>
          <w:spacing w:val="0"/>
          <w:w w:val="100"/>
          <w:position w:val="0"/>
          <w:shd w:val="clear" w:color="auto" w:fill="auto"/>
          <w:lang w:val="de-DE" w:eastAsia="de-DE" w:bidi="de-DE"/>
        </w:rPr>
        <w:t>Mar(i)-abhä.</w:t>
      </w:r>
    </w:p>
    <w:p>
      <w:pPr>
        <w:pStyle w:val="Style6"/>
        <w:keepNext w:val="0"/>
        <w:keepLines w:val="0"/>
        <w:widowControl w:val="0"/>
        <w:shd w:val="clear" w:color="auto" w:fill="auto"/>
        <w:tabs>
          <w:tab w:pos="2792" w:val="left"/>
        </w:tabs>
        <w:bidi w:val="0"/>
        <w:spacing w:line="192" w:lineRule="auto"/>
        <w:ind w:left="0" w:firstLine="0"/>
        <w:jc w:val="left"/>
      </w:pP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86; compare ii. 411.</w:t>
        <w:tab/>
      </w:r>
    </w:p>
    <w:p>
      <w:pPr>
        <w:pStyle w:val="Style6"/>
        <w:keepNext w:val="0"/>
        <w:keepLines w:val="0"/>
        <w:widowControl w:val="0"/>
        <w:shd w:val="clear" w:color="auto" w:fill="auto"/>
        <w:tabs>
          <w:tab w:pos="2792" w:val="left"/>
        </w:tabs>
        <w:bidi w:val="0"/>
        <w:spacing w:line="192" w:lineRule="auto"/>
        <w:ind w:left="0" w:firstLine="0"/>
        <w:jc w:val="left"/>
      </w:pP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See p. 852, note 10.</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See Hoffmann, </w:t>
      </w:r>
      <w:r>
        <w:rPr>
          <w:i/>
          <w:iCs/>
          <w:spacing w:val="0"/>
          <w:w w:val="100"/>
          <w:position w:val="0"/>
          <w:shd w:val="clear" w:color="auto" w:fill="auto"/>
          <w:lang w:val="de-DE" w:eastAsia="de-DE" w:bidi="de-DE"/>
        </w:rPr>
        <w:t>Auszüge aus syrischen Akten persischer Märtyrer,</w:t>
      </w:r>
      <w:r>
        <w:rPr>
          <w:spacing w:val="0"/>
          <w:w w:val="100"/>
          <w:position w:val="0"/>
          <w:shd w:val="clear" w:color="auto" w:fill="auto"/>
          <w:lang w:val="de-DE" w:eastAsia="de-DE" w:bidi="de-DE"/>
        </w:rPr>
        <w:t xml:space="preserve"> pp. </w:t>
      </w:r>
      <w:r>
        <w:rPr>
          <w:spacing w:val="0"/>
          <w:w w:val="100"/>
          <w:position w:val="0"/>
          <w:shd w:val="clear" w:color="auto" w:fill="auto"/>
          <w:lang w:val="en-US" w:eastAsia="en-US" w:bidi="en-US"/>
        </w:rPr>
        <w:t>6, 7.</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B.O., ii. </w:t>
      </w:r>
      <w:r>
        <w:rPr>
          <w:spacing w:val="0"/>
          <w:w w:val="100"/>
          <w:position w:val="0"/>
          <w:shd w:val="clear" w:color="auto" w:fill="auto"/>
          <w:lang w:val="en-US" w:eastAsia="en-US" w:bidi="en-US"/>
        </w:rPr>
        <w:t xml:space="preserve">411-412, </w:t>
      </w:r>
      <w:r>
        <w:rPr>
          <w:spacing w:val="0"/>
          <w:w w:val="100"/>
          <w:position w:val="0"/>
          <w:shd w:val="clear" w:color="auto" w:fill="auto"/>
          <w:lang w:val="de-DE" w:eastAsia="de-DE" w:bidi="de-DE"/>
        </w:rPr>
        <w:t xml:space="preserve">iii. </w:t>
      </w:r>
      <w:r>
        <w:rPr>
          <w:spacing w:val="0"/>
          <w:w w:val="100"/>
          <w:position w:val="0"/>
          <w:shd w:val="clear" w:color="auto" w:fill="auto"/>
          <w:lang w:val="en-US" w:eastAsia="en-US" w:bidi="en-US"/>
        </w:rPr>
        <w:t xml:space="preserve">1, 75;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ed. Abbeloos</w:t>
      </w:r>
    </w:p>
    <w:p>
      <w:pPr>
        <w:pStyle w:val="Style6"/>
        <w:keepNext w:val="0"/>
        <w:keepLines w:val="0"/>
        <w:widowControl w:val="0"/>
        <w:shd w:val="clear" w:color="auto" w:fill="auto"/>
        <w:bidi w:val="0"/>
        <w:spacing w:line="192" w:lineRule="auto"/>
        <w:ind w:left="360" w:hanging="360"/>
        <w:jc w:val="left"/>
      </w:pPr>
      <w:r>
        <w:rPr>
          <w:spacing w:val="0"/>
          <w:w w:val="100"/>
          <w:position w:val="0"/>
          <w:shd w:val="clear" w:color="auto" w:fill="auto"/>
          <w:lang w:val="de-DE" w:eastAsia="de-DE" w:bidi="de-DE"/>
        </w:rPr>
        <w:t xml:space="preserve">and Lamy, ii. </w:t>
      </w:r>
      <w:r>
        <w:rPr>
          <w:spacing w:val="0"/>
          <w:w w:val="100"/>
          <w:position w:val="0"/>
          <w:shd w:val="clear" w:color="auto" w:fill="auto"/>
          <w:lang w:val="en-US" w:eastAsia="en-US" w:bidi="en-US"/>
        </w:rPr>
        <w:t xml:space="preserve">89 </w:t>
      </w:r>
      <w:r>
        <w:rPr>
          <w:spacing w:val="0"/>
          <w:w w:val="100"/>
          <w:position w:val="0"/>
          <w:shd w:val="clear" w:color="auto" w:fill="auto"/>
          <w:lang w:val="de-DE" w:eastAsia="de-DE" w:bidi="de-DE"/>
        </w:rPr>
        <w:t xml:space="preserve">; Martin, </w:t>
      </w:r>
      <w:r>
        <w:rPr>
          <w:i/>
          <w:iCs/>
          <w:spacing w:val="0"/>
          <w:w w:val="100"/>
          <w:position w:val="0"/>
          <w:shd w:val="clear" w:color="auto" w:fill="auto"/>
          <w:lang w:val="de-DE" w:eastAsia="de-DE" w:bidi="de-DE"/>
        </w:rPr>
        <w:t>Introd.,</w:t>
      </w:r>
      <w:r>
        <w:rPr>
          <w:spacing w:val="0"/>
          <w:w w:val="100"/>
          <w:position w:val="0"/>
          <w:shd w:val="clear" w:color="auto" w:fill="auto"/>
          <w:lang w:val="de-DE" w:eastAsia="de-DE" w:bidi="de-DE"/>
        </w:rPr>
        <w:t xml:space="preserve"> pp. </w:t>
      </w:r>
      <w:r>
        <w:rPr>
          <w:spacing w:val="0"/>
          <w:w w:val="100"/>
          <w:position w:val="0"/>
          <w:shd w:val="clear" w:color="auto" w:fill="auto"/>
          <w:lang w:val="en-US" w:eastAsia="en-US" w:bidi="en-US"/>
        </w:rPr>
        <w:t xml:space="preserve">292-294.  </w:t>
      </w:r>
    </w:p>
    <w:p>
      <w:pPr>
        <w:pStyle w:val="Style6"/>
        <w:keepNext w:val="0"/>
        <w:keepLines w:val="0"/>
        <w:widowControl w:val="0"/>
        <w:shd w:val="clear" w:color="auto" w:fill="auto"/>
        <w:bidi w:val="0"/>
        <w:spacing w:line="192" w:lineRule="auto"/>
        <w:ind w:left="360" w:hanging="360"/>
        <w:jc w:val="left"/>
      </w:pPr>
      <w:r>
        <w:rPr>
          <w:spacing w:val="0"/>
          <w:w w:val="100"/>
          <w:position w:val="0"/>
          <w:shd w:val="clear" w:color="auto" w:fill="auto"/>
          <w:vertAlign w:val="superscript"/>
          <w:lang w:val="en-US" w:eastAsia="en-US" w:bidi="en-US"/>
        </w:rPr>
        <w:t>@@@11</w:t>
      </w:r>
      <w:r>
        <w:rPr>
          <w:spacing w:val="0"/>
          <w:w w:val="100"/>
          <w:position w:val="0"/>
          <w:shd w:val="clear" w:color="auto" w:fill="auto"/>
          <w:lang w:val="de-DE" w:eastAsia="de-DE" w:bidi="de-DE"/>
        </w:rPr>
        <w:t xml:space="preserve"> See Martin, </w:t>
      </w:r>
      <w:r>
        <w:rPr>
          <w:i/>
          <w:iCs/>
          <w:spacing w:val="0"/>
          <w:w w:val="100"/>
          <w:position w:val="0"/>
          <w:shd w:val="clear" w:color="auto" w:fill="auto"/>
          <w:lang w:val="de-DE" w:eastAsia="de-DE" w:bidi="de-DE"/>
        </w:rPr>
        <w:t xml:space="preserve">Tradition Karkaphienne </w:t>
      </w:r>
      <w:r>
        <w:rPr>
          <w:i/>
          <w:iCs/>
          <w:spacing w:val="0"/>
          <w:w w:val="100"/>
          <w:position w:val="0"/>
          <w:shd w:val="clear" w:color="auto" w:fill="auto"/>
          <w:lang w:val="fr-FR" w:eastAsia="fr-FR" w:bidi="fr-FR"/>
        </w:rPr>
        <w:t xml:space="preserve">ou la </w:t>
      </w:r>
      <w:r>
        <w:rPr>
          <w:i/>
          <w:iCs/>
          <w:spacing w:val="0"/>
          <w:w w:val="100"/>
          <w:position w:val="0"/>
          <w:shd w:val="clear" w:color="auto" w:fill="auto"/>
          <w:lang w:val="de-DE" w:eastAsia="de-DE" w:bidi="de-DE"/>
        </w:rPr>
        <w:t xml:space="preserve">Massore </w:t>
      </w:r>
      <w:r>
        <w:rPr>
          <w:i/>
          <w:iCs/>
          <w:spacing w:val="0"/>
          <w:w w:val="100"/>
          <w:position w:val="0"/>
          <w:shd w:val="clear" w:color="auto" w:fill="auto"/>
          <w:lang w:val="fr-FR" w:eastAsia="fr-FR" w:bidi="fr-FR"/>
        </w:rPr>
        <w:t xml:space="preserve">chez les </w:t>
      </w:r>
      <w:r>
        <w:rPr>
          <w:i/>
          <w:iCs/>
          <w:spacing w:val="0"/>
          <w:w w:val="100"/>
          <w:position w:val="0"/>
          <w:shd w:val="clear" w:color="auto" w:fill="auto"/>
          <w:lang w:val="de-DE" w:eastAsia="de-DE" w:bidi="de-DE"/>
        </w:rPr>
        <w:t>Syriens,</w:t>
      </w:r>
      <w:r>
        <w:rPr>
          <w:spacing w:val="0"/>
          <w:w w:val="100"/>
          <w:position w:val="0"/>
          <w:shd w:val="clear" w:color="auto" w:fill="auto"/>
          <w:lang w:val="de-DE" w:eastAsia="de-DE" w:bidi="de-DE"/>
        </w:rPr>
        <w:t xml:space="preserve"> Paris,</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 xml:space="preserve">1870 (from </w:t>
      </w:r>
      <w:r>
        <w:rPr>
          <w:i/>
          <w:iCs/>
          <w:spacing w:val="0"/>
          <w:w w:val="100"/>
          <w:position w:val="0"/>
          <w:shd w:val="clear" w:color="auto" w:fill="auto"/>
          <w:lang w:val="de-DE" w:eastAsia="de-DE" w:bidi="de-DE"/>
        </w:rPr>
        <w:t>Journ. Asiat.),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Introd.,</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pp. 276-291.</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In the Vatican </w:t>
      </w:r>
      <w:r>
        <w:rPr>
          <w:i/>
          <w:iCs/>
          <w:spacing w:val="0"/>
          <w:w w:val="100"/>
          <w:position w:val="0"/>
          <w:shd w:val="clear" w:color="auto" w:fill="auto"/>
          <w:lang w:val="en-US" w:eastAsia="en-US" w:bidi="en-US"/>
        </w:rPr>
        <w:t>Catalogue</w:t>
      </w:r>
      <w:r>
        <w:rPr>
          <w:spacing w:val="0"/>
          <w:w w:val="100"/>
          <w:position w:val="0"/>
          <w:shd w:val="clear" w:color="auto" w:fill="auto"/>
          <w:lang w:val="en-US" w:eastAsia="en-US" w:bidi="en-US"/>
        </w:rPr>
        <w:t xml:space="preserve"> (vol. iii. 287, No. ciii.) he translates the words</w:t>
      </w:r>
    </w:p>
    <w:p>
      <w:pPr>
        <w:pStyle w:val="Style6"/>
        <w:keepNext w:val="0"/>
        <w:keepLines w:val="0"/>
        <w:widowControl w:val="0"/>
        <w:shd w:val="clear" w:color="auto" w:fill="auto"/>
        <w:bidi w:val="0"/>
        <w:spacing w:line="192" w:lineRule="auto"/>
        <w:ind w:left="0" w:firstLine="0"/>
        <w:jc w:val="left"/>
      </w:pPr>
      <w:r>
        <w:rPr>
          <w:i/>
          <w:iCs/>
          <w:spacing w:val="0"/>
          <w:w w:val="100"/>
          <w:position w:val="0"/>
          <w:shd w:val="clear" w:color="auto" w:fill="auto"/>
          <w:lang w:val="en-US" w:eastAsia="en-US" w:bidi="en-US"/>
        </w:rPr>
        <w:t xml:space="preserve">akh </w:t>
      </w:r>
      <w:r>
        <w:rPr>
          <w:i/>
          <w:iCs/>
          <w:spacing w:val="0"/>
          <w:w w:val="100"/>
          <w:position w:val="0"/>
          <w:shd w:val="clear" w:color="auto" w:fill="auto"/>
          <w:lang w:val="fr-FR" w:eastAsia="fr-FR" w:bidi="fr-FR"/>
        </w:rPr>
        <w:t>mashlëmanûtha karkëphâitâ</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by </w:t>
      </w:r>
      <w:r>
        <w:rPr>
          <w:spacing w:val="0"/>
          <w:w w:val="100"/>
          <w:position w:val="0"/>
          <w:shd w:val="clear" w:color="auto" w:fill="auto"/>
          <w:lang w:val="la-001" w:eastAsia="la-001" w:bidi="la-001"/>
        </w:rPr>
        <w:t xml:space="preserve">“juxta traditionem </w:t>
      </w:r>
      <w:r>
        <w:rPr>
          <w:spacing w:val="0"/>
          <w:w w:val="100"/>
          <w:position w:val="0"/>
          <w:shd w:val="clear" w:color="auto" w:fill="auto"/>
          <w:lang w:val="en-US" w:eastAsia="en-US" w:bidi="en-US"/>
        </w:rPr>
        <w:t xml:space="preserve">verticalen (!) : hoc </w:t>
      </w:r>
      <w:r>
        <w:rPr>
          <w:spacing w:val="0"/>
          <w:w w:val="100"/>
          <w:position w:val="0"/>
          <w:shd w:val="clear" w:color="auto" w:fill="auto"/>
          <w:lang w:val="fr-FR" w:eastAsia="fr-FR" w:bidi="fr-FR"/>
        </w:rPr>
        <w:t xml:space="preserve">est, </w:t>
      </w:r>
      <w:r>
        <w:rPr>
          <w:spacing w:val="0"/>
          <w:w w:val="100"/>
          <w:position w:val="0"/>
          <w:shd w:val="clear" w:color="auto" w:fill="auto"/>
          <w:lang w:val="la-001" w:eastAsia="la-001" w:bidi="la-001"/>
        </w:rPr>
        <w:t xml:space="preserve">Montanorum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Phœnice </w:t>
      </w:r>
      <w:r>
        <w:rPr>
          <w:spacing w:val="0"/>
          <w:w w:val="100"/>
          <w:position w:val="0"/>
          <w:shd w:val="clear" w:color="auto" w:fill="auto"/>
          <w:lang w:val="en-US" w:eastAsia="en-US" w:bidi="en-US"/>
        </w:rPr>
        <w:t xml:space="preserve">et Mesopotamia </w:t>
      </w:r>
      <w:r>
        <w:rPr>
          <w:spacing w:val="0"/>
          <w:w w:val="100"/>
          <w:position w:val="0"/>
          <w:shd w:val="clear" w:color="auto" w:fill="auto"/>
          <w:lang w:val="la-001" w:eastAsia="la-001" w:bidi="la-001"/>
        </w:rPr>
        <w:t>degentium.”</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See his </w:t>
      </w:r>
      <w:r>
        <w:rPr>
          <w:i/>
          <w:iCs/>
          <w:spacing w:val="0"/>
          <w:w w:val="100"/>
          <w:position w:val="0"/>
          <w:shd w:val="clear" w:color="auto" w:fill="auto"/>
          <w:lang w:val="en-US" w:eastAsia="en-US" w:bidi="en-US"/>
        </w:rPr>
        <w:t>Horæ Syriaae,</w:t>
      </w:r>
      <w:r>
        <w:rPr>
          <w:spacing w:val="0"/>
          <w:w w:val="100"/>
          <w:position w:val="0"/>
          <w:shd w:val="clear" w:color="auto" w:fill="auto"/>
          <w:lang w:val="en-US" w:eastAsia="en-US" w:bidi="en-US"/>
        </w:rPr>
        <w:t xml:space="preserve"> Rome, 1828, p. 78 : II. </w:t>
      </w:r>
      <w:r>
        <w:rPr>
          <w:i/>
          <w:iCs/>
          <w:spacing w:val="0"/>
          <w:w w:val="100"/>
          <w:position w:val="0"/>
          <w:shd w:val="clear" w:color="auto" w:fill="auto"/>
          <w:lang w:val="en-US" w:eastAsia="en-US" w:bidi="en-US"/>
        </w:rPr>
        <w:t>Symbols; Philologies; ad Hist.</w:t>
      </w:r>
    </w:p>
    <w:p>
      <w:pPr>
        <w:pStyle w:val="Style6"/>
        <w:keepNext w:val="0"/>
        <w:keepLines w:val="0"/>
        <w:widowControl w:val="0"/>
        <w:shd w:val="clear" w:color="auto" w:fill="auto"/>
        <w:bidi w:val="0"/>
        <w:spacing w:line="192" w:lineRule="auto"/>
        <w:ind w:left="0" w:firstLine="0"/>
        <w:jc w:val="left"/>
      </w:pPr>
      <w:r>
        <w:rPr>
          <w:i/>
          <w:iCs/>
          <w:spacing w:val="0"/>
          <w:w w:val="100"/>
          <w:position w:val="0"/>
          <w:shd w:val="clear" w:color="auto" w:fill="auto"/>
          <w:lang w:val="en-US" w:eastAsia="en-US" w:bidi="en-US"/>
        </w:rPr>
        <w:t xml:space="preserve">Versionum Syriac, vet. </w:t>
      </w:r>
      <w:r>
        <w:rPr>
          <w:i/>
          <w:iCs/>
          <w:spacing w:val="0"/>
          <w:w w:val="100"/>
          <w:position w:val="0"/>
          <w:shd w:val="clear" w:color="auto" w:fill="auto"/>
          <w:lang w:val="fr-FR" w:eastAsia="fr-FR" w:bidi="fr-FR"/>
        </w:rPr>
        <w:t xml:space="preserve">fœderis. </w:t>
      </w:r>
      <w:r>
        <w:rPr>
          <w:i/>
          <w:iCs/>
          <w:spacing w:val="0"/>
          <w:w w:val="100"/>
          <w:position w:val="0"/>
          <w:shd w:val="clear" w:color="auto" w:fill="auto"/>
          <w:lang w:val="la-001" w:eastAsia="la-001" w:bidi="la-001"/>
        </w:rPr>
        <w:t xml:space="preserve">Particula </w:t>
      </w:r>
      <w:r>
        <w:rPr>
          <w:i/>
          <w:iCs/>
          <w:spacing w:val="0"/>
          <w:w w:val="100"/>
          <w:position w:val="0"/>
          <w:shd w:val="clear" w:color="auto" w:fill="auto"/>
          <w:lang w:val="fr-FR" w:eastAsia="fr-FR" w:bidi="fr-FR"/>
        </w:rPr>
        <w:t xml:space="preserve">prima; de versionibus generatim, </w:t>
      </w:r>
      <w:r>
        <w:rPr>
          <w:i/>
          <w:iCs/>
          <w:spacing w:val="0"/>
          <w:w w:val="100"/>
          <w:position w:val="0"/>
          <w:shd w:val="clear" w:color="auto" w:fill="auto"/>
          <w:lang w:val="la-001" w:eastAsia="la-001" w:bidi="la-001"/>
        </w:rPr>
        <w:t xml:space="preserve">deinde </w:t>
      </w:r>
      <w:r>
        <w:rPr>
          <w:i/>
          <w:iCs/>
          <w:spacing w:val="0"/>
          <w:w w:val="100"/>
          <w:position w:val="0"/>
          <w:shd w:val="clear" w:color="auto" w:fill="auto"/>
          <w:lang w:val="fr-FR" w:eastAsia="fr-FR" w:bidi="fr-FR"/>
        </w:rPr>
        <w:t>de Peschito,</w:t>
      </w:r>
      <w:r>
        <w:rPr>
          <w:spacing w:val="0"/>
          <w:w w:val="100"/>
          <w:position w:val="0"/>
          <w:shd w:val="clear" w:color="auto" w:fill="auto"/>
          <w:lang w:val="fr-FR" w:eastAsia="fr-FR" w:bidi="fr-FR"/>
        </w:rPr>
        <w:t xml:space="preserve"> p. </w:t>
      </w:r>
      <w:r>
        <w:rPr>
          <w:spacing w:val="0"/>
          <w:w w:val="100"/>
          <w:position w:val="0"/>
          <w:shd w:val="clear" w:color="auto" w:fill="auto"/>
          <w:lang w:val="en-US" w:eastAsia="en-US" w:bidi="en-US"/>
        </w:rPr>
        <w:t xml:space="preserve">147 </w:t>
      </w:r>
      <w:r>
        <w:rPr>
          <w:spacing w:val="0"/>
          <w:w w:val="100"/>
          <w:position w:val="0"/>
          <w:shd w:val="clear" w:color="auto" w:fill="auto"/>
          <w:lang w:val="fr-FR" w:eastAsia="fr-FR" w:bidi="fr-FR"/>
        </w:rPr>
        <w:t xml:space="preserve">; III. </w:t>
      </w:r>
      <w:r>
        <w:rPr>
          <w:i/>
          <w:iCs/>
          <w:spacing w:val="0"/>
          <w:w w:val="100"/>
          <w:position w:val="0"/>
          <w:shd w:val="clear" w:color="auto" w:fill="auto"/>
          <w:lang w:val="la-001" w:eastAsia="la-001" w:bidi="la-001"/>
        </w:rPr>
        <w:t xml:space="preserve">Particula secunda; recensionem </w:t>
      </w:r>
      <w:r>
        <w:rPr>
          <w:i/>
          <w:iCs/>
          <w:spacing w:val="0"/>
          <w:w w:val="100"/>
          <w:position w:val="0"/>
          <w:shd w:val="clear" w:color="auto" w:fill="auto"/>
          <w:lang w:val="en-US" w:eastAsia="en-US" w:bidi="en-US"/>
        </w:rPr>
        <w:t xml:space="preserve">Karkaphensem </w:t>
      </w:r>
      <w:r>
        <w:rPr>
          <w:i/>
          <w:iCs/>
          <w:spacing w:val="0"/>
          <w:w w:val="100"/>
          <w:position w:val="0"/>
          <w:shd w:val="clear" w:color="auto" w:fill="auto"/>
          <w:lang w:val="la-001" w:eastAsia="la-001" w:bidi="la-001"/>
        </w:rPr>
        <w:t>nunc primum describens.</w:t>
      </w:r>
      <w:r>
        <w:rPr>
          <w:spacing w:val="0"/>
          <w:w w:val="100"/>
          <w:position w:val="0"/>
          <w:shd w:val="clear" w:color="auto" w:fill="auto"/>
          <w:lang w:val="la-001" w:eastAsia="la-001" w:bidi="la-001"/>
        </w:rPr>
        <w:t xml:space="preserve"> We</w:t>
      </w:r>
      <w:r>
        <w:rPr>
          <w:spacing w:val="0"/>
          <w:w w:val="100"/>
          <w:position w:val="0"/>
          <w:shd w:val="clear" w:color="auto" w:fill="auto"/>
          <w:lang w:val="en-US" w:eastAsia="en-US" w:bidi="en-US"/>
        </w:rPr>
        <w:t xml:space="preserve"> need not here indicate wiseman</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s mistakes, but it is a pity to see them all reproduced even in the third edition of Scrivener’s </w:t>
      </w:r>
      <w:r>
        <w:rPr>
          <w:i/>
          <w:iCs/>
          <w:spacing w:val="0"/>
          <w:w w:val="100"/>
          <w:position w:val="0"/>
          <w:shd w:val="clear" w:color="auto" w:fill="auto"/>
          <w:lang w:val="en-US" w:eastAsia="en-US" w:bidi="en-US"/>
        </w:rPr>
        <w:t>Plain Introduction,</w:t>
      </w:r>
      <w:r>
        <w:rPr>
          <w:spacing w:val="0"/>
          <w:w w:val="100"/>
          <w:position w:val="0"/>
          <w:shd w:val="clear" w:color="auto" w:fill="auto"/>
          <w:lang w:val="en-US" w:eastAsia="en-US" w:bidi="en-US"/>
        </w:rPr>
        <w:t xml:space="preserve"> 1883.</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See HofΓrnann, </w:t>
      </w:r>
      <w:r>
        <w:rPr>
          <w:i/>
          <w:iCs/>
          <w:spacing w:val="0"/>
          <w:w w:val="100"/>
          <w:position w:val="0"/>
          <w:shd w:val="clear" w:color="auto" w:fill="auto"/>
          <w:lang w:val="la-001" w:eastAsia="la-001" w:bidi="la-001"/>
        </w:rPr>
        <w:t xml:space="preserve">Opuscula </w:t>
      </w:r>
      <w:r>
        <w:rPr>
          <w:i/>
          <w:iCs/>
          <w:spacing w:val="0"/>
          <w:w w:val="100"/>
          <w:position w:val="0"/>
          <w:shd w:val="clear" w:color="auto" w:fill="auto"/>
          <w:lang w:val="en-US" w:eastAsia="en-US" w:bidi="en-US"/>
        </w:rPr>
        <w:t>Nestoriana,</w:t>
      </w:r>
      <w:r>
        <w:rPr>
          <w:spacing w:val="0"/>
          <w:w w:val="100"/>
          <w:position w:val="0"/>
          <w:shd w:val="clear" w:color="auto" w:fill="auto"/>
          <w:lang w:val="en-US" w:eastAsia="en-US" w:bidi="en-US"/>
        </w:rPr>
        <w:t xml:space="preserve"> 1880, p. v. </w:t>
      </w:r>
      <w:r>
        <w:rPr>
          <w:i/>
          <w:iCs/>
          <w:spacing w:val="0"/>
          <w:w w:val="100"/>
          <w:position w:val="0"/>
          <w:shd w:val="clear" w:color="auto" w:fill="auto"/>
          <w:lang w:val="en-US" w:eastAsia="en-US" w:bidi="en-US"/>
        </w:rPr>
        <w:t>sq.</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See, for example,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341, col. 2 at the foot, and iii. 2, cmxxiv. </w:t>
      </w:r>
      <w:r>
        <w:rPr>
          <w:i/>
          <w:iCs/>
          <w:spacing w:val="0"/>
          <w:w w:val="100"/>
          <w:position w:val="0"/>
          <w:shd w:val="clear" w:color="auto" w:fill="auto"/>
          <w:lang w:val="en-US" w:eastAsia="en-US" w:bidi="en-US"/>
        </w:rPr>
        <w:t>sq.</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Hoffmann, </w:t>
      </w:r>
      <w:r>
        <w:rPr>
          <w:i/>
          <w:iCs/>
          <w:spacing w:val="0"/>
          <w:w w:val="100"/>
          <w:position w:val="0"/>
          <w:shd w:val="clear" w:color="auto" w:fill="auto"/>
          <w:lang w:val="en-US" w:eastAsia="en-US" w:bidi="en-US"/>
        </w:rPr>
        <w:t>Opusc. Nestor.,</w:t>
      </w:r>
      <w:r>
        <w:rPr>
          <w:spacing w:val="0"/>
          <w:w w:val="100"/>
          <w:position w:val="0"/>
          <w:shd w:val="clear" w:color="auto" w:fill="auto"/>
          <w:lang w:val="en-US" w:eastAsia="en-US" w:bidi="en-US"/>
        </w:rPr>
        <w:t xml:space="preserve"> p. vii. ; Martin, </w:t>
      </w:r>
      <w:r>
        <w:rPr>
          <w:i/>
          <w:iCs/>
          <w:spacing w:val="0"/>
          <w:w w:val="100"/>
          <w:position w:val="0"/>
          <w:shd w:val="clear" w:color="auto" w:fill="auto"/>
          <w:lang w:val="en-US" w:eastAsia="en-US" w:bidi="en-US"/>
        </w:rPr>
        <w:t>Introd.,</w:t>
      </w:r>
      <w:r>
        <w:rPr>
          <w:spacing w:val="0"/>
          <w:w w:val="100"/>
          <w:position w:val="0"/>
          <w:shd w:val="clear" w:color="auto" w:fill="auto"/>
          <w:lang w:val="en-US" w:eastAsia="en-US" w:bidi="en-US"/>
        </w:rPr>
        <w:t xml:space="preserve"> p. 289.</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Hoffmann,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xx., xxi. what the whole curriculum of such a student should be, according to the mind of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in the 13th century, may be seen from the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2, 937-938 </w:t>
      </w:r>
      <w:r>
        <w:rPr>
          <w:i/>
          <w:iCs/>
          <w:spacing w:val="0"/>
          <w:w w:val="100"/>
          <w:position w:val="0"/>
          <w:shd w:val="clear" w:color="auto" w:fill="auto"/>
          <w:lang w:val="en-US" w:eastAsia="en-US" w:bidi="en-US"/>
        </w:rPr>
        <w:t>(Nomocanon,</w:t>
      </w:r>
      <w:r>
        <w:rPr>
          <w:spacing w:val="0"/>
          <w:w w:val="100"/>
          <w:position w:val="0"/>
          <w:shd w:val="clear" w:color="auto" w:fill="auto"/>
          <w:lang w:val="en-US" w:eastAsia="en-US" w:bidi="en-US"/>
        </w:rPr>
        <w:t xml:space="preserve"> translated by J. </w:t>
      </w:r>
      <w:r>
        <w:rPr>
          <w:spacing w:val="0"/>
          <w:w w:val="100"/>
          <w:position w:val="0"/>
          <w:shd w:val="clear" w:color="auto" w:fill="auto"/>
          <w:lang w:val="fr-FR" w:eastAsia="fr-FR" w:bidi="fr-FR"/>
        </w:rPr>
        <w:t xml:space="preserve">Â. </w:t>
      </w:r>
      <w:r>
        <w:rPr>
          <w:spacing w:val="0"/>
          <w:w w:val="100"/>
          <w:position w:val="0"/>
          <w:shd w:val="clear" w:color="auto" w:fill="auto"/>
          <w:lang w:val="en-US" w:eastAsia="en-US" w:bidi="en-US"/>
        </w:rPr>
        <w:t xml:space="preserve">Assemani, in Mai, </w:t>
      </w:r>
      <w:r>
        <w:rPr>
          <w:i/>
          <w:iCs/>
          <w:spacing w:val="0"/>
          <w:w w:val="100"/>
          <w:position w:val="0"/>
          <w:shd w:val="clear" w:color="auto" w:fill="auto"/>
          <w:lang w:val="en-US" w:eastAsia="en-US" w:bidi="en-US"/>
        </w:rPr>
        <w:t>Scriptt. Vett. Nova Coll.,</w:t>
      </w:r>
      <w:r>
        <w:rPr>
          <w:spacing w:val="0"/>
          <w:w w:val="100"/>
          <w:position w:val="0"/>
          <w:shd w:val="clear" w:color="auto" w:fill="auto"/>
          <w:lang w:val="en-US" w:eastAsia="en-US" w:bidi="en-US"/>
        </w:rPr>
        <w:t xml:space="preserve"> x. cap. vii. § 9, pp. 54-56).</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Hoffmann,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vi., vii.</w:t>
      </w:r>
    </w:p>
    <w:p>
      <w:pPr>
        <w:pStyle w:val="Style6"/>
        <w:keepNext w:val="0"/>
        <w:keepLines w:val="0"/>
        <w:widowControl w:val="0"/>
        <w:shd w:val="clear" w:color="auto" w:fill="auto"/>
        <w:tabs>
          <w:tab w:pos="2538" w:val="left"/>
        </w:tabs>
        <w:bidi w:val="0"/>
        <w:spacing w:line="192" w:lineRule="auto"/>
        <w:ind w:left="0" w:firstLine="360"/>
        <w:jc w:val="left"/>
      </w:pP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101.</w:t>
        <w:tab/>
      </w:r>
    </w:p>
    <w:p>
      <w:pPr>
        <w:pStyle w:val="Style6"/>
        <w:keepNext w:val="0"/>
        <w:keepLines w:val="0"/>
        <w:widowControl w:val="0"/>
        <w:shd w:val="clear" w:color="auto" w:fill="auto"/>
        <w:tabs>
          <w:tab w:pos="2538" w:val="left"/>
        </w:tabs>
        <w:bidi w:val="0"/>
        <w:spacing w:line="192" w:lineRule="auto"/>
        <w:ind w:left="0" w:firstLine="360"/>
        <w:jc w:val="left"/>
      </w:pP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Martin, </w:t>
      </w:r>
      <w:r>
        <w:rPr>
          <w:i/>
          <w:iCs/>
          <w:spacing w:val="0"/>
          <w:w w:val="100"/>
          <w:position w:val="0"/>
          <w:shd w:val="clear" w:color="auto" w:fill="auto"/>
          <w:lang w:val="en-US" w:eastAsia="en-US" w:bidi="en-US"/>
        </w:rPr>
        <w:t>Introd.,</w:t>
      </w:r>
      <w:r>
        <w:rPr>
          <w:spacing w:val="0"/>
          <w:w w:val="100"/>
          <w:position w:val="0"/>
          <w:shd w:val="clear" w:color="auto" w:fill="auto"/>
          <w:lang w:val="en-US" w:eastAsia="en-US" w:bidi="en-US"/>
        </w:rPr>
        <w:t xml:space="preserve"> p. 291.</w:t>
      </w:r>
    </w:p>
    <w:p>
      <w:pPr>
        <w:pStyle w:val="Style6"/>
        <w:keepNext w:val="0"/>
        <w:keepLines w:val="0"/>
        <w:widowControl w:val="0"/>
        <w:shd w:val="clear" w:color="auto" w:fill="auto"/>
        <w:tabs>
          <w:tab w:pos="2524" w:val="left"/>
        </w:tabs>
        <w:bidi w:val="0"/>
        <w:spacing w:line="192" w:lineRule="auto"/>
        <w:ind w:left="0" w:firstLine="360"/>
        <w:jc w:val="left"/>
      </w:pP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Hoffmann,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xxxii. (1878), p. 745 ; and in Stade’s </w:t>
      </w:r>
      <w:r>
        <w:rPr>
          <w:i/>
          <w:iCs/>
          <w:spacing w:val="0"/>
          <w:w w:val="100"/>
          <w:position w:val="0"/>
          <w:shd w:val="clear" w:color="auto" w:fill="auto"/>
          <w:lang w:val="de-DE" w:eastAsia="de-DE" w:bidi="de-DE"/>
        </w:rPr>
        <w:t xml:space="preserve">Zeitschrift für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Alttest. Wissenschaft,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1881, </w:t>
      </w:r>
      <w:r>
        <w:rPr>
          <w:spacing w:val="0"/>
          <w:w w:val="100"/>
          <w:position w:val="0"/>
          <w:shd w:val="clear" w:color="auto" w:fill="auto"/>
          <w:lang w:val="la-001" w:eastAsia="la-001" w:bidi="la-001"/>
        </w:rPr>
        <w:t xml:space="preserve">p. </w:t>
      </w:r>
      <w:r>
        <w:rPr>
          <w:spacing w:val="0"/>
          <w:w w:val="100"/>
          <w:position w:val="0"/>
          <w:shd w:val="clear" w:color="auto" w:fill="auto"/>
          <w:lang w:val="en-US" w:eastAsia="en-US" w:bidi="en-US"/>
        </w:rPr>
        <w:t>159.</w:t>
        <w:tab/>
        <w:t xml:space="preserve">22 </w:t>
      </w:r>
      <w:r>
        <w:rPr>
          <w:spacing w:val="0"/>
          <w:w w:val="100"/>
          <w:position w:val="0"/>
          <w:shd w:val="clear" w:color="auto" w:fill="auto"/>
          <w:lang w:val="la-001" w:eastAsia="la-001" w:bidi="la-001"/>
        </w:rPr>
        <w:t xml:space="preserve">Martin, </w:t>
      </w:r>
      <w:r>
        <w:rPr>
          <w:i/>
          <w:iCs/>
          <w:spacing w:val="0"/>
          <w:w w:val="100"/>
          <w:position w:val="0"/>
          <w:shd w:val="clear" w:color="auto" w:fill="auto"/>
          <w:lang w:val="en-US" w:eastAsia="en-US" w:bidi="en-US"/>
        </w:rPr>
        <w:t xml:space="preserve">op. </w:t>
      </w:r>
      <w:r>
        <w:rPr>
          <w:i/>
          <w:iCs/>
          <w:spacing w:val="0"/>
          <w:w w:val="100"/>
          <w:position w:val="0"/>
          <w:shd w:val="clear" w:color="auto" w:fill="auto"/>
          <w:lang w:val="la-001" w:eastAsia="la-001" w:bidi="la-001"/>
        </w:rPr>
        <w:t>cit.,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pp. 122, 129.</w:t>
      </w:r>
    </w:p>
    <w:p>
      <w:pPr>
        <w:pStyle w:val="Style6"/>
        <w:keepNext w:val="0"/>
        <w:keepLines w:val="0"/>
        <w:widowControl w:val="0"/>
        <w:shd w:val="clear" w:color="auto" w:fill="auto"/>
        <w:tabs>
          <w:tab w:pos="284" w:val="left"/>
        </w:tabs>
        <w:bidi w:val="0"/>
        <w:spacing w:line="257" w:lineRule="auto"/>
        <w:ind w:left="0" w:firstLine="360"/>
        <w:jc w:val="left"/>
      </w:pP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ab/>
        <w:t xml:space="preserve">See Wiseman,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178; Martin,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76, 77, 133;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65, 66 ;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109. The investigations of Hoffmann (in Stade’s </w:t>
      </w:r>
      <w:r>
        <w:rPr>
          <w:i/>
          <w:iCs/>
          <w:spacing w:val="0"/>
          <w:w w:val="100"/>
          <w:position w:val="0"/>
          <w:shd w:val="clear" w:color="auto" w:fill="auto"/>
          <w:lang w:val="de-DE" w:eastAsia="de-DE" w:bidi="de-DE"/>
        </w:rPr>
        <w:t>Zeitschrift,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1881, p. 159) and Duval </w:t>
      </w:r>
      <w:r>
        <w:rPr>
          <w:i/>
          <w:iCs/>
          <w:spacing w:val="0"/>
          <w:w w:val="100"/>
          <w:position w:val="0"/>
          <w:shd w:val="clear" w:color="auto" w:fill="auto"/>
          <w:lang w:val="en-US" w:eastAsia="en-US" w:bidi="en-US"/>
        </w:rPr>
        <w:t xml:space="preserve">(Journ. </w:t>
      </w:r>
      <w:r>
        <w:rPr>
          <w:i/>
          <w:iCs/>
          <w:spacing w:val="0"/>
          <w:w w:val="100"/>
          <w:position w:val="0"/>
          <w:shd w:val="clear" w:color="auto" w:fill="auto"/>
          <w:lang w:val="de-DE" w:eastAsia="de-DE" w:bidi="de-DE"/>
        </w:rPr>
        <w:t>Asiat.,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1884, p. 560) have made it certain that designates not the </w:t>
      </w:r>
      <w:r>
        <w:rPr>
          <w:spacing w:val="0"/>
          <w:w w:val="100"/>
          <w:position w:val="0"/>
          <w:shd w:val="clear" w:color="auto" w:fill="auto"/>
          <w:lang w:val="fr-FR" w:eastAsia="fr-FR" w:bidi="fr-FR"/>
        </w:rPr>
        <w:t xml:space="preserve">Pëshïttâ, </w:t>
      </w:r>
      <w:r>
        <w:rPr>
          <w:spacing w:val="0"/>
          <w:w w:val="100"/>
          <w:position w:val="0"/>
          <w:shd w:val="clear" w:color="auto" w:fill="auto"/>
          <w:lang w:val="en-US" w:eastAsia="en-US" w:bidi="en-US"/>
        </w:rPr>
        <w:t xml:space="preserve">nor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but one </w:t>
      </w:r>
      <w:r>
        <w:rPr>
          <w:spacing w:val="0"/>
          <w:w w:val="100"/>
          <w:position w:val="0"/>
          <w:shd w:val="clear" w:color="auto" w:fill="auto"/>
          <w:lang w:val="de-DE" w:eastAsia="de-DE" w:bidi="de-DE"/>
        </w:rPr>
        <w:t xml:space="preserve">Tübhänä </w:t>
      </w:r>
      <w:r>
        <w:rPr>
          <w:spacing w:val="0"/>
          <w:w w:val="100"/>
          <w:position w:val="0"/>
          <w:shd w:val="clear" w:color="auto" w:fill="auto"/>
          <w:lang w:val="en-US" w:eastAsia="en-US" w:bidi="en-US"/>
        </w:rPr>
        <w:t xml:space="preserve">(perhaps surnamed “the Beardless"), an eminent teacher at </w:t>
      </w:r>
      <w:r>
        <w:rPr>
          <w:spacing w:val="0"/>
          <w:w w:val="100"/>
          <w:position w:val="0"/>
          <w:shd w:val="clear" w:color="auto" w:fill="auto"/>
          <w:lang w:val="fr-FR" w:eastAsia="fr-FR" w:bidi="fr-FR"/>
        </w:rPr>
        <w:t xml:space="preserve">Rêsh-’ainâ. </w:t>
      </w:r>
      <w:r>
        <w:rPr>
          <w:spacing w:val="0"/>
          <w:w w:val="100"/>
          <w:position w:val="0"/>
          <w:shd w:val="clear" w:color="auto" w:fill="auto"/>
          <w:lang w:val="en-US" w:eastAsia="en-US" w:bidi="en-US"/>
        </w:rPr>
        <w:t xml:space="preserve">His colleague </w:t>
      </w:r>
      <w:r>
        <w:rPr>
          <w:spacing w:val="0"/>
          <w:w w:val="100"/>
          <w:position w:val="0"/>
          <w:shd w:val="clear" w:color="auto" w:fill="auto"/>
          <w:lang w:val="de-DE" w:eastAsia="de-DE" w:bidi="de-DE"/>
        </w:rPr>
        <w:t xml:space="preserve">Säbhä </w:t>
      </w:r>
      <w:r>
        <w:rPr>
          <w:spacing w:val="0"/>
          <w:w w:val="100"/>
          <w:position w:val="0"/>
          <w:shd w:val="clear" w:color="auto" w:fill="auto"/>
          <w:lang w:val="en-US" w:eastAsia="en-US" w:bidi="en-US"/>
        </w:rPr>
        <w:t xml:space="preserve">was probably the famous scribe </w:t>
      </w:r>
      <w:r>
        <w:rPr>
          <w:spacing w:val="0"/>
          <w:w w:val="100"/>
          <w:position w:val="0"/>
          <w:shd w:val="clear" w:color="auto" w:fill="auto"/>
          <w:lang w:val="de-DE" w:eastAsia="de-DE" w:bidi="de-DE"/>
        </w:rPr>
        <w:t xml:space="preserve">Säbhä, </w:t>
      </w:r>
      <w:r>
        <w:rPr>
          <w:spacing w:val="0"/>
          <w:w w:val="100"/>
          <w:position w:val="0"/>
          <w:shd w:val="clear" w:color="auto" w:fill="auto"/>
          <w:lang w:val="en-US" w:eastAsia="en-US" w:bidi="en-US"/>
        </w:rPr>
        <w:t xml:space="preserve">who wrote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14428, 14430 (724), and 12135, ff. 1-43 (726).</w:t>
      </w:r>
    </w:p>
    <w:p>
      <w:pPr>
        <w:pStyle w:val="Style6"/>
        <w:keepNext w:val="0"/>
        <w:keepLines w:val="0"/>
        <w:widowControl w:val="0"/>
        <w:shd w:val="clear" w:color="auto" w:fill="auto"/>
        <w:tabs>
          <w:tab w:pos="284" w:val="left"/>
        </w:tabs>
        <w:bidi w:val="0"/>
        <w:spacing w:line="194" w:lineRule="auto"/>
        <w:ind w:left="0" w:firstLine="360"/>
        <w:jc w:val="left"/>
      </w:pP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ab/>
        <w:t xml:space="preserve">Namely, (Pseudo-Dionysius </w:t>
      </w:r>
      <w:r>
        <w:rPr>
          <w:spacing w:val="0"/>
          <w:w w:val="100"/>
          <w:position w:val="0"/>
          <w:shd w:val="clear" w:color="auto" w:fill="auto"/>
          <w:lang w:val="la-001" w:eastAsia="la-001" w:bidi="la-001"/>
        </w:rPr>
        <w:t xml:space="preserve">Areopagita, </w:t>
      </w:r>
      <w:r>
        <w:rPr>
          <w:spacing w:val="0"/>
          <w:w w:val="100"/>
          <w:position w:val="0"/>
          <w:shd w:val="clear" w:color="auto" w:fill="auto"/>
          <w:lang w:val="en-US" w:eastAsia="en-US" w:bidi="en-US"/>
        </w:rPr>
        <w:t xml:space="preserve">Gregory Nazianzen (2 vols.), the works of Basil, the epistles of Gregory and Basil, John Philoponus (the </w:t>
      </w:r>
      <w:r>
        <w:rPr>
          <w:i/>
          <w:iCs/>
          <w:spacing w:val="0"/>
          <w:w w:val="100"/>
          <w:position w:val="0"/>
          <w:shd w:val="clear" w:color="auto" w:fill="auto"/>
          <w:lang w:val="en-US" w:eastAsia="en-US" w:bidi="en-US"/>
        </w:rPr>
        <w:t>∆ιacτηττ)s),</w:t>
      </w:r>
      <w:r>
        <w:rPr>
          <w:spacing w:val="0"/>
          <w:w w:val="100"/>
          <w:position w:val="0"/>
          <w:shd w:val="clear" w:color="auto" w:fill="auto"/>
          <w:lang w:val="en-US" w:eastAsia="en-US" w:bidi="en-US"/>
        </w:rPr>
        <w:t xml:space="preserve"> and Severus of Antioch </w:t>
      </w:r>
      <w:r>
        <w:rPr>
          <w:i/>
          <w:iCs/>
          <w:spacing w:val="0"/>
          <w:w w:val="100"/>
          <w:position w:val="0"/>
          <w:shd w:val="clear" w:color="auto" w:fill="auto"/>
          <w:lang w:val="fr-FR" w:eastAsia="fr-FR" w:bidi="fr-FR"/>
        </w:rPr>
        <w:t xml:space="preserve">(Homiliæ </w:t>
      </w:r>
      <w:r>
        <w:rPr>
          <w:i/>
          <w:iCs/>
          <w:spacing w:val="0"/>
          <w:w w:val="100"/>
          <w:position w:val="0"/>
          <w:shd w:val="clear" w:color="auto" w:fill="auto"/>
          <w:lang w:val="de-DE" w:eastAsia="de-DE" w:bidi="de-DE"/>
        </w:rPr>
        <w:t>Cathedrales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certain synodical letters relating to the council of Antioch). A fuller list is given by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2, cmxxxvii. </w:t>
      </w:r>
      <w:r>
        <w:rPr>
          <w:i/>
          <w:iCs/>
          <w:spacing w:val="0"/>
          <w:w w:val="100"/>
          <w:position w:val="0"/>
          <w:shd w:val="clear" w:color="auto" w:fill="auto"/>
          <w:lang w:val="en-US" w:eastAsia="en-US" w:bidi="en-US"/>
        </w:rPr>
        <w:t>sq.</w:t>
      </w:r>
    </w:p>
    <w:p>
      <w:pPr>
        <w:pStyle w:val="Style6"/>
        <w:keepNext w:val="0"/>
        <w:keepLines w:val="0"/>
        <w:widowControl w:val="0"/>
        <w:shd w:val="clear" w:color="auto" w:fill="auto"/>
        <w:tabs>
          <w:tab w:pos="277" w:val="left"/>
        </w:tabs>
        <w:bidi w:val="0"/>
        <w:spacing w:line="194" w:lineRule="auto"/>
        <w:ind w:left="0" w:firstLine="360"/>
        <w:jc w:val="left"/>
      </w:pP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ab/>
        <w:t xml:space="preserve">See Phillips, </w:t>
      </w:r>
      <w:r>
        <w:rPr>
          <w:i/>
          <w:iCs/>
          <w:spacing w:val="0"/>
          <w:w w:val="100"/>
          <w:position w:val="0"/>
          <w:shd w:val="clear" w:color="auto" w:fill="auto"/>
          <w:lang w:val="en-US" w:eastAsia="en-US" w:bidi="en-US"/>
        </w:rPr>
        <w:t xml:space="preserve">A Letter of </w:t>
      </w:r>
      <w:r>
        <w:rPr>
          <w:i/>
          <w:iCs/>
          <w:spacing w:val="0"/>
          <w:w w:val="100"/>
          <w:position w:val="0"/>
          <w:shd w:val="clear" w:color="auto" w:fill="auto"/>
          <w:lang w:val="de-DE" w:eastAsia="de-DE" w:bidi="de-DE"/>
        </w:rPr>
        <w:t xml:space="preserve">Mär </w:t>
      </w:r>
      <w:r>
        <w:rPr>
          <w:i/>
          <w:iCs/>
          <w:spacing w:val="0"/>
          <w:w w:val="100"/>
          <w:position w:val="0"/>
          <w:shd w:val="clear" w:color="auto" w:fill="auto"/>
          <w:lang w:val="en-US" w:eastAsia="en-US" w:bidi="en-US"/>
        </w:rPr>
        <w:t xml:space="preserve">Jacob, Bishop of </w:t>
      </w:r>
      <w:r>
        <w:rPr>
          <w:i/>
          <w:iCs/>
          <w:spacing w:val="0"/>
          <w:w w:val="100"/>
          <w:position w:val="0"/>
          <w:shd w:val="clear" w:color="auto" w:fill="auto"/>
          <w:lang w:val="la-001" w:eastAsia="la-001" w:bidi="la-001"/>
        </w:rPr>
        <w:t xml:space="preserve">Edessa, </w:t>
      </w:r>
      <w:r>
        <w:rPr>
          <w:i/>
          <w:iCs/>
          <w:spacing w:val="0"/>
          <w:w w:val="100"/>
          <w:position w:val="0"/>
          <w:shd w:val="clear" w:color="auto" w:fill="auto"/>
          <w:lang w:val="en-US" w:eastAsia="en-US" w:bidi="en-US"/>
        </w:rPr>
        <w:t xml:space="preserve">on Syriac orthography, </w:t>
      </w:r>
      <w:r>
        <w:rPr>
          <w:spacing w:val="0"/>
          <w:w w:val="100"/>
          <w:position w:val="0"/>
          <w:shd w:val="clear" w:color="auto" w:fill="auto"/>
          <w:lang w:val="en-US" w:eastAsia="en-US" w:bidi="en-US"/>
        </w:rPr>
        <w:t xml:space="preserve">&lt;fec., 1869 (Appendix iii. pp. 85-96, issued separately in 1870); Martin, </w:t>
      </w:r>
      <w:r>
        <w:rPr>
          <w:i/>
          <w:iCs/>
          <w:spacing w:val="0"/>
          <w:w w:val="100"/>
          <w:position w:val="0"/>
          <w:shd w:val="clear" w:color="auto" w:fill="auto"/>
          <w:lang w:val="en-US" w:eastAsia="en-US" w:bidi="en-US"/>
        </w:rPr>
        <w:t xml:space="preserve">Jacobi epi </w:t>
      </w:r>
      <w:r>
        <w:rPr>
          <w:i/>
          <w:iCs/>
          <w:spacing w:val="0"/>
          <w:w w:val="100"/>
          <w:position w:val="0"/>
          <w:shd w:val="clear" w:color="auto" w:fill="auto"/>
          <w:lang w:val="la-001" w:eastAsia="la-001" w:bidi="la-001"/>
        </w:rPr>
        <w:t xml:space="preserve">Edesseni </w:t>
      </w:r>
      <w:r>
        <w:rPr>
          <w:i/>
          <w:iCs/>
          <w:spacing w:val="0"/>
          <w:w w:val="100"/>
          <w:position w:val="0"/>
          <w:shd w:val="clear" w:color="auto" w:fill="auto"/>
          <w:lang w:val="en-US" w:eastAsia="en-US" w:bidi="en-US"/>
        </w:rPr>
        <w:t xml:space="preserve">Epistola ad Georgium epum Sarugensem de </w:t>
      </w:r>
      <w:r>
        <w:rPr>
          <w:i/>
          <w:iCs/>
          <w:spacing w:val="0"/>
          <w:w w:val="100"/>
          <w:position w:val="0"/>
          <w:shd w:val="clear" w:color="auto" w:fill="auto"/>
          <w:lang w:val="la-001" w:eastAsia="la-001" w:bidi="la-001"/>
        </w:rPr>
        <w:t xml:space="preserve">Orthographia Syriaca, </w:t>
      </w:r>
      <w:r>
        <w:rPr>
          <w:spacing w:val="0"/>
          <w:w w:val="100"/>
          <w:position w:val="0"/>
          <w:shd w:val="clear" w:color="auto" w:fill="auto"/>
          <w:lang w:val="en-US" w:eastAsia="en-US" w:bidi="en-US"/>
        </w:rPr>
        <w:t>&amp;c., 1869.</w:t>
      </w:r>
    </w:p>
    <w:p>
      <w:pPr>
        <w:pStyle w:val="Style6"/>
        <w:keepNext w:val="0"/>
        <w:keepLines w:val="0"/>
        <w:widowControl w:val="0"/>
        <w:shd w:val="clear" w:color="auto" w:fill="auto"/>
        <w:tabs>
          <w:tab w:pos="281" w:val="left"/>
        </w:tabs>
        <w:bidi w:val="0"/>
        <w:spacing w:line="194" w:lineRule="auto"/>
        <w:ind w:left="0" w:firstLine="360"/>
        <w:jc w:val="left"/>
      </w:pP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ab/>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1242 ; see Renan, in the </w:t>
      </w:r>
      <w:r>
        <w:rPr>
          <w:i/>
          <w:iCs/>
          <w:spacing w:val="0"/>
          <w:w w:val="100"/>
          <w:position w:val="0"/>
          <w:shd w:val="clear" w:color="auto" w:fill="auto"/>
          <w:lang w:val="en-US" w:eastAsia="en-US" w:bidi="en-US"/>
        </w:rPr>
        <w:t xml:space="preserve">Journ. </w:t>
      </w:r>
      <w:r>
        <w:rPr>
          <w:i/>
          <w:iCs/>
          <w:spacing w:val="0"/>
          <w:w w:val="100"/>
          <w:position w:val="0"/>
          <w:shd w:val="clear" w:color="auto" w:fill="auto"/>
          <w:lang w:val="de-DE" w:eastAsia="de-DE" w:bidi="de-DE"/>
        </w:rPr>
        <w:t>Asiat.,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November and December 1853, p. 427, and Wright, </w:t>
      </w:r>
      <w:r>
        <w:rPr>
          <w:i/>
          <w:iCs/>
          <w:spacing w:val="0"/>
          <w:w w:val="100"/>
          <w:position w:val="0"/>
          <w:shd w:val="clear" w:color="auto" w:fill="auto"/>
          <w:lang w:val="en-US" w:eastAsia="en-US" w:bidi="en-US"/>
        </w:rPr>
        <w:t>Contributions to the Apocryphal Literature of the New Testament,</w:t>
      </w:r>
      <w:r>
        <w:rPr>
          <w:spacing w:val="0"/>
          <w:w w:val="100"/>
          <w:position w:val="0"/>
          <w:shd w:val="clear" w:color="auto" w:fill="auto"/>
          <w:lang w:val="en-US" w:eastAsia="en-US" w:bidi="en-US"/>
        </w:rPr>
        <w:t xml:space="preserve"> 1865, p. 61.</w:t>
      </w:r>
    </w:p>
    <w:p>
      <w:pPr>
        <w:pStyle w:val="Style6"/>
        <w:keepNext w:val="0"/>
        <w:keepLines w:val="0"/>
        <w:widowControl w:val="0"/>
        <w:shd w:val="clear" w:color="auto" w:fill="auto"/>
        <w:tabs>
          <w:tab w:pos="298" w:val="left"/>
        </w:tabs>
        <w:bidi w:val="0"/>
        <w:spacing w:line="194" w:lineRule="auto"/>
        <w:ind w:left="0" w:firstLine="360"/>
        <w:jc w:val="left"/>
      </w:pP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ab/>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1047 ; Land, </w:t>
      </w:r>
      <w:r>
        <w:rPr>
          <w:i/>
          <w:iCs/>
          <w:spacing w:val="0"/>
          <w:w w:val="100"/>
          <w:position w:val="0"/>
          <w:shd w:val="clear" w:color="auto" w:fill="auto"/>
          <w:lang w:val="en-US" w:eastAsia="en-US" w:bidi="en-US"/>
        </w:rPr>
        <w:t>A need. Syr.,</w:t>
      </w:r>
      <w:r>
        <w:rPr>
          <w:spacing w:val="0"/>
          <w:w w:val="100"/>
          <w:position w:val="0"/>
          <w:shd w:val="clear" w:color="auto" w:fill="auto"/>
          <w:lang w:val="en-US" w:eastAsia="en-US" w:bidi="en-US"/>
        </w:rPr>
        <w:t xml:space="preserve"> iii. 15-46.</w:t>
      </w:r>
    </w:p>
    <w:p>
      <w:pPr>
        <w:pStyle w:val="Style6"/>
        <w:keepNext w:val="0"/>
        <w:keepLines w:val="0"/>
        <w:widowControl w:val="0"/>
        <w:shd w:val="clear" w:color="auto" w:fill="auto"/>
        <w:tabs>
          <w:tab w:pos="302" w:val="left"/>
        </w:tabs>
        <w:bidi w:val="0"/>
        <w:spacing w:line="194" w:lineRule="auto"/>
        <w:ind w:left="0" w:firstLine="360"/>
        <w:jc w:val="left"/>
      </w:pP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ab/>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1207, col. 1 ; Hoffmann, </w:t>
      </w:r>
      <w:r>
        <w:rPr>
          <w:i/>
          <w:iCs/>
          <w:spacing w:val="0"/>
          <w:w w:val="100"/>
          <w:position w:val="0"/>
          <w:shd w:val="clear" w:color="auto" w:fill="auto"/>
          <w:lang w:val="de-DE" w:eastAsia="de-DE" w:bidi="de-DE"/>
        </w:rPr>
        <w:t>Auszüge aus syrischen Akten</w:t>
      </w:r>
    </w:p>
    <w:p>
      <w:pPr>
        <w:pStyle w:val="Style6"/>
        <w:keepNext w:val="0"/>
        <w:keepLines w:val="0"/>
        <w:widowControl w:val="0"/>
        <w:shd w:val="clear" w:color="auto" w:fill="auto"/>
        <w:tabs>
          <w:tab w:pos="2423" w:val="left"/>
        </w:tabs>
        <w:bidi w:val="0"/>
        <w:spacing w:line="194" w:lineRule="auto"/>
        <w:ind w:left="0" w:firstLine="0"/>
        <w:jc w:val="left"/>
      </w:pPr>
      <w:r>
        <w:rPr>
          <w:i/>
          <w:iCs/>
          <w:spacing w:val="0"/>
          <w:w w:val="100"/>
          <w:position w:val="0"/>
          <w:shd w:val="clear" w:color="auto" w:fill="auto"/>
          <w:lang w:val="de-DE" w:eastAsia="de-DE" w:bidi="de-DE"/>
        </w:rPr>
        <w:t>persischer Märtyrer,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1880, </w:t>
      </w:r>
      <w:r>
        <w:rPr>
          <w:spacing w:val="0"/>
          <w:w w:val="100"/>
          <w:position w:val="0"/>
          <w:shd w:val="clear" w:color="auto" w:fill="auto"/>
          <w:lang w:val="de-DE" w:eastAsia="de-DE" w:bidi="de-DE"/>
        </w:rPr>
        <w:t xml:space="preserve">p. </w:t>
      </w:r>
      <w:r>
        <w:rPr>
          <w:spacing w:val="0"/>
          <w:w w:val="100"/>
          <w:position w:val="0"/>
          <w:shd w:val="clear" w:color="auto" w:fill="auto"/>
          <w:lang w:val="en-US" w:eastAsia="en-US" w:bidi="en-US"/>
        </w:rPr>
        <w:t xml:space="preserve">182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see for the Syriac text Bπt.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Orient. 2313, and a MS. in the Collection of the S.P.C.K. (now presented by the Society to the university of Cambridge).</w:t>
        <w:tab/>
      </w:r>
    </w:p>
    <w:p>
      <w:pPr>
        <w:pStyle w:val="Style6"/>
        <w:keepNext w:val="0"/>
        <w:keepLines w:val="0"/>
        <w:widowControl w:val="0"/>
        <w:shd w:val="clear" w:color="auto" w:fill="auto"/>
        <w:tabs>
          <w:tab w:pos="2423" w:val="left"/>
        </w:tabs>
        <w:bidi w:val="0"/>
        <w:spacing w:line="194" w:lineRule="auto"/>
        <w:ind w:left="0" w:firstLine="0"/>
        <w:jc w:val="left"/>
      </w:pP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9, 1065.</w:t>
      </w:r>
    </w:p>
    <w:p>
      <w:pPr>
        <w:pStyle w:val="Style6"/>
        <w:keepNext w:val="0"/>
        <w:keepLines w:val="0"/>
        <w:widowControl w:val="0"/>
        <w:shd w:val="clear" w:color="auto" w:fill="auto"/>
        <w:tabs>
          <w:tab w:pos="281" w:val="left"/>
        </w:tabs>
        <w:bidi w:val="0"/>
        <w:spacing w:line="194" w:lineRule="auto"/>
        <w:ind w:left="0" w:firstLine="360"/>
        <w:jc w:val="left"/>
      </w:pP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ab/>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352, col. 2;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Orient. 2084, f. 1, </w:t>
      </w:r>
      <w:r>
        <w:rPr>
          <w:i/>
          <w:iCs/>
          <w:spacing w:val="0"/>
          <w:w w:val="100"/>
          <w:position w:val="0"/>
          <w:shd w:val="clear" w:color="auto" w:fill="auto"/>
          <w:lang w:val="fr-FR" w:eastAsia="fr-FR" w:bidi="fr-FR"/>
        </w:rPr>
        <w:t>Këthâbhâ dhë· Shidhâê dhë-zabhnê dhë-Dhânï'ël nëbhïyâ.</w:t>
      </w:r>
    </w:p>
    <w:p>
      <w:pPr>
        <w:pStyle w:val="Style6"/>
        <w:keepNext w:val="0"/>
        <w:keepLines w:val="0"/>
        <w:widowControl w:val="0"/>
        <w:shd w:val="clear" w:color="auto" w:fill="auto"/>
        <w:tabs>
          <w:tab w:pos="281" w:val="left"/>
        </w:tabs>
        <w:bidi w:val="0"/>
        <w:spacing w:line="194" w:lineRule="auto"/>
        <w:ind w:left="0" w:firstLine="360"/>
        <w:jc w:val="left"/>
      </w:pP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ab/>
        <w:t xml:space="preserve">Most of these are published in Wright’s </w:t>
      </w:r>
      <w:r>
        <w:rPr>
          <w:i/>
          <w:iCs/>
          <w:spacing w:val="0"/>
          <w:w w:val="100"/>
          <w:position w:val="0"/>
          <w:shd w:val="clear" w:color="auto" w:fill="auto"/>
          <w:lang w:val="en-US" w:eastAsia="en-US" w:bidi="en-US"/>
        </w:rPr>
        <w:t>Contributions</w:t>
      </w:r>
      <w:r>
        <w:rPr>
          <w:spacing w:val="0"/>
          <w:w w:val="100"/>
          <w:position w:val="0"/>
          <w:shd w:val="clear" w:color="auto" w:fill="auto"/>
          <w:lang w:val="en-US" w:eastAsia="en-US" w:bidi="en-US"/>
        </w:rPr>
        <w:t xml:space="preserve"> ; see also the </w:t>
      </w:r>
      <w:r>
        <w:rPr>
          <w:i/>
          <w:iCs/>
          <w:spacing w:val="0"/>
          <w:w w:val="100"/>
          <w:position w:val="0"/>
          <w:shd w:val="clear" w:color="auto" w:fill="auto"/>
          <w:lang w:val="en-US" w:eastAsia="en-US" w:bidi="en-US"/>
        </w:rPr>
        <w:t>Journal of Sacred Literature,</w:t>
      </w:r>
      <w:r>
        <w:rPr>
          <w:spacing w:val="0"/>
          <w:w w:val="100"/>
          <w:position w:val="0"/>
          <w:shd w:val="clear" w:color="auto" w:fill="auto"/>
          <w:lang w:val="en-US" w:eastAsia="en-US" w:bidi="en-US"/>
        </w:rPr>
        <w:t xml:space="preserve"> 1865, vol. vi. 417, vol. vii. 129 ; and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H. Cowper, </w:t>
      </w:r>
      <w:r>
        <w:rPr>
          <w:i/>
          <w:iCs/>
          <w:spacing w:val="0"/>
          <w:w w:val="100"/>
          <w:position w:val="0"/>
          <w:shd w:val="clear" w:color="auto" w:fill="auto"/>
          <w:lang w:val="en-US" w:eastAsia="en-US" w:bidi="en-US"/>
        </w:rPr>
        <w:t>The Apocryphal Gospels,</w:t>
      </w:r>
      <w:r>
        <w:rPr>
          <w:spacing w:val="0"/>
          <w:w w:val="100"/>
          <w:position w:val="0"/>
          <w:shd w:val="clear" w:color="auto" w:fill="auto"/>
          <w:lang w:val="en-US" w:eastAsia="en-US" w:bidi="en-US"/>
        </w:rPr>
        <w:t xml:space="preserve"> &amp;c., 1867.</w:t>
      </w:r>
    </w:p>
    <w:p>
      <w:pPr>
        <w:pStyle w:val="Style6"/>
        <w:keepNext w:val="0"/>
        <w:keepLines w:val="0"/>
        <w:widowControl w:val="0"/>
        <w:shd w:val="clear" w:color="auto" w:fill="auto"/>
        <w:tabs>
          <w:tab w:pos="302" w:val="left"/>
        </w:tabs>
        <w:bidi w:val="0"/>
        <w:spacing w:line="194" w:lineRule="auto"/>
        <w:ind w:left="0" w:firstLine="360"/>
        <w:jc w:val="left"/>
      </w:pP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ab/>
        <w:t xml:space="preserve">See Wright, </w:t>
      </w:r>
      <w:r>
        <w:rPr>
          <w:i/>
          <w:iCs/>
          <w:spacing w:val="0"/>
          <w:w w:val="100"/>
          <w:position w:val="0"/>
          <w:shd w:val="clear" w:color="auto" w:fill="auto"/>
          <w:lang w:val="en-US" w:eastAsia="en-US" w:bidi="en-US"/>
        </w:rPr>
        <w:t>Apocryphal Acts of the Apostles,</w:t>
      </w:r>
      <w:r>
        <w:rPr>
          <w:spacing w:val="0"/>
          <w:w w:val="100"/>
          <w:position w:val="0"/>
          <w:shd w:val="clear" w:color="auto" w:fill="auto"/>
          <w:lang w:val="en-US" w:eastAsia="en-US" w:bidi="en-US"/>
        </w:rPr>
        <w:t xml:space="preserve"> 2 vols., 1871.</w:t>
      </w:r>
    </w:p>
    <w:p>
      <w:pPr>
        <w:pStyle w:val="Style6"/>
        <w:keepNext w:val="0"/>
        <w:keepLines w:val="0"/>
        <w:widowControl w:val="0"/>
        <w:shd w:val="clear" w:color="auto" w:fill="auto"/>
        <w:tabs>
          <w:tab w:pos="298" w:val="left"/>
        </w:tabs>
        <w:bidi w:val="0"/>
        <w:spacing w:line="194" w:lineRule="auto"/>
        <w:ind w:left="0" w:firstLine="360"/>
        <w:jc w:val="left"/>
      </w:pP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ab/>
        <w:t xml:space="preserve">Cureton, </w:t>
      </w:r>
      <w:r>
        <w:rPr>
          <w:i/>
          <w:iCs/>
          <w:spacing w:val="0"/>
          <w:w w:val="100"/>
          <w:position w:val="0"/>
          <w:shd w:val="clear" w:color="auto" w:fill="auto"/>
          <w:lang w:val="en-US" w:eastAsia="en-US" w:bidi="en-US"/>
        </w:rPr>
        <w:t>Ancient Syriac Documents,</w:t>
      </w:r>
      <w:r>
        <w:rPr>
          <w:spacing w:val="0"/>
          <w:w w:val="100"/>
          <w:position w:val="0"/>
          <w:shd w:val="clear" w:color="auto" w:fill="auto"/>
          <w:lang w:val="en-US" w:eastAsia="en-US" w:bidi="en-US"/>
        </w:rPr>
        <w:t xml:space="preserve"> pp. 35-41.</w:t>
      </w:r>
    </w:p>
    <w:p>
      <w:pPr>
        <w:pStyle w:val="Style6"/>
        <w:keepNext w:val="0"/>
        <w:keepLines w:val="0"/>
        <w:widowControl w:val="0"/>
        <w:shd w:val="clear" w:color="auto" w:fill="auto"/>
        <w:tabs>
          <w:tab w:pos="298" w:val="left"/>
        </w:tabs>
        <w:bidi w:val="0"/>
        <w:spacing w:line="194" w:lineRule="auto"/>
        <w:ind w:left="0" w:firstLine="360"/>
        <w:jc w:val="left"/>
      </w:pP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ab/>
        <w:t xml:space="preserve">Translated by Zingerle in Heidenheim’s </w:t>
      </w:r>
      <w:r>
        <w:rPr>
          <w:i/>
          <w:iCs/>
          <w:spacing w:val="0"/>
          <w:w w:val="100"/>
          <w:position w:val="0"/>
          <w:shd w:val="clear" w:color="auto" w:fill="auto"/>
          <w:lang w:val="de-DE" w:eastAsia="de-DE" w:bidi="de-DE"/>
        </w:rPr>
        <w:t>Vierteljahrsschrift,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iv. p. 139 </w:t>
      </w:r>
      <w:r>
        <w:rPr>
          <w:i/>
          <w:iCs/>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type w:val="continuous"/>
      <w:pgSz w:w="12240" w:h="16840"/>
      <w:pgMar w:top="1636" w:left="1413" w:right="1481" w:bottom="14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