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monks who dwelt in the mountains (pp. 113-131). Of metrical writings the same book contains (pp. 339-354) the hymns against Julian the Apostate (pp. 1-20), and the conclusion of the hymns on Paradise (wanting in the Roman ed., vol. iii. 598).@@</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Other metrical homilies were published by Zingerle@@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but far more im</w:t>
        <w:softHyphen/>
        <w:t xml:space="preserve">portant, as having a real historical interest, are the </w:t>
      </w:r>
      <w:r>
        <w:rPr>
          <w:i/>
          <w:iCs/>
          <w:spacing w:val="0"/>
          <w:w w:val="100"/>
          <w:position w:val="0"/>
          <w:shd w:val="clear" w:color="auto" w:fill="auto"/>
          <w:lang w:val="la-001" w:eastAsia="la-001" w:bidi="la-001"/>
        </w:rPr>
        <w:t xml:space="preserve">Carmina </w:t>
      </w:r>
      <w:r>
        <w:rPr>
          <w:i/>
          <w:iCs/>
          <w:spacing w:val="0"/>
          <w:w w:val="100"/>
          <w:position w:val="0"/>
          <w:shd w:val="clear" w:color="auto" w:fill="auto"/>
          <w:lang w:val="en-US" w:eastAsia="en-US" w:bidi="en-US"/>
        </w:rPr>
        <w:t>Nisibena,</w:t>
      </w:r>
      <w:r>
        <w:rPr>
          <w:spacing w:val="0"/>
          <w:w w:val="100"/>
          <w:position w:val="0"/>
          <w:shd w:val="clear" w:color="auto" w:fill="auto"/>
          <w:lang w:val="en-US" w:eastAsia="en-US" w:bidi="en-US"/>
        </w:rPr>
        <w:t xml:space="preserve"> or “Hymns relating to the City of Nisibis,” edited by Bickell in 1866. " These poems, which deal in great part with the history of Nisībis and its bishops and of adjacent cities (such as Anzīt or Hanzīt,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and Ḥā</w:t>
      </w:r>
      <w:r>
        <w:rPr>
          <w:spacing w:val="0"/>
          <w:w w:val="100"/>
          <w:position w:val="0"/>
          <w:shd w:val="clear" w:color="auto" w:fill="auto"/>
          <w:lang w:val="fr-FR" w:eastAsia="fr-FR" w:bidi="fr-FR"/>
        </w:rPr>
        <w:t>rr</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were composed, according to Bickell (Introd.', p. 6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between the years 350 and 370 or there</w:t>
        <w:softHyphen/>
        <w:t>abouts.@@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 large quantity of hitherto unpublished matter is also contained in Lamy, </w:t>
      </w:r>
      <w:r>
        <w:rPr>
          <w:i/>
          <w:iCs/>
          <w:spacing w:val="0"/>
          <w:w w:val="100"/>
          <w:position w:val="0"/>
          <w:shd w:val="clear" w:color="auto" w:fill="auto"/>
          <w:lang w:val="en-US" w:eastAsia="en-US" w:bidi="en-US"/>
        </w:rPr>
        <w:t xml:space="preserve">S. Ephraemi </w:t>
      </w:r>
      <w:r>
        <w:rPr>
          <w:i/>
          <w:iCs/>
          <w:spacing w:val="0"/>
          <w:w w:val="100"/>
          <w:position w:val="0"/>
          <w:shd w:val="clear" w:color="auto" w:fill="auto"/>
          <w:lang w:val="la-001" w:eastAsia="la-001" w:bidi="la-001"/>
        </w:rPr>
        <w:t>Syri Hymni et Sermones,</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 xml:space="preserve">i., 1882, </w:t>
      </w:r>
      <w:r>
        <w:rPr>
          <w:spacing w:val="0"/>
          <w:w w:val="100"/>
          <w:position w:val="0"/>
          <w:shd w:val="clear" w:color="auto" w:fill="auto"/>
          <w:lang w:val="fr-FR" w:eastAsia="fr-FR" w:bidi="fr-FR"/>
        </w:rPr>
        <w:t xml:space="preserve">and vol. </w:t>
      </w:r>
      <w:r>
        <w:rPr>
          <w:spacing w:val="0"/>
          <w:w w:val="100"/>
          <w:position w:val="0"/>
          <w:shd w:val="clear" w:color="auto" w:fill="auto"/>
          <w:lang w:val="la-001" w:eastAsia="la-001" w:bidi="la-001"/>
        </w:rPr>
        <w:t>ii.</w:t>
      </w:r>
      <w:r>
        <w:rPr>
          <w:spacing w:val="0"/>
          <w:w w:val="100"/>
          <w:position w:val="0"/>
          <w:shd w:val="clear" w:color="auto" w:fill="auto"/>
          <w:lang w:val="en-US" w:eastAsia="en-US" w:bidi="en-US"/>
        </w:rPr>
        <w:t>, 1886,</w:t>
      </w:r>
      <w:r>
        <w:rPr>
          <w:spacing w:val="0"/>
          <w:w w:val="100"/>
          <w:position w:val="0"/>
          <w:shd w:val="clear" w:color="auto" w:fill="auto"/>
          <w:lang w:val="fr-FR" w:eastAsia="fr-FR" w:bidi="fr-FR"/>
        </w:rPr>
        <w:t>—</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fifteen hymns on the Epiphany, a discourse on our Lord, several metrical homilies (in particular for Passion week, the Resurrection, and New or Low Sunday), hymns on the Passover or unleavened bread </w:t>
      </w:r>
      <w:r>
        <w:rPr>
          <w:i/>
          <w:iCs/>
          <w:spacing w:val="0"/>
          <w:w w:val="100"/>
          <w:position w:val="0"/>
          <w:shd w:val="clear" w:color="auto" w:fill="auto"/>
          <w:lang w:val="la-001" w:eastAsia="la-001" w:bidi="la-001"/>
        </w:rPr>
        <w:t>(De Azymis)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on the Cruci</w:t>
        <w:softHyphen/>
        <w:t xml:space="preserve">fixion, acts of Ephraim from the Paris MS. </w:t>
      </w:r>
      <w:r>
        <w:rPr>
          <w:spacing w:val="0"/>
          <w:w w:val="100"/>
          <w:position w:val="0"/>
          <w:shd w:val="clear" w:color="auto" w:fill="auto"/>
          <w:lang w:val="fr-FR" w:eastAsia="fr-FR" w:bidi="fr-FR"/>
        </w:rPr>
        <w:t xml:space="preserve">Ancien fonds </w:t>
      </w:r>
      <w:r>
        <w:rPr>
          <w:spacing w:val="0"/>
          <w:w w:val="100"/>
          <w:position w:val="0"/>
          <w:shd w:val="clear" w:color="auto" w:fill="auto"/>
          <w:lang w:val="en-US" w:eastAsia="en-US" w:bidi="en-US"/>
        </w:rPr>
        <w:t xml:space="preserve">144, commentaries on portions of the Old Testament, other metrical homilies, and hymns on the nativity, the Blessed Virgin Mary, Lent, &amp;c. The so-called </w:t>
      </w:r>
      <w:r>
        <w:rPr>
          <w:i/>
          <w:iCs/>
          <w:spacing w:val="0"/>
          <w:w w:val="100"/>
          <w:position w:val="0"/>
          <w:shd w:val="clear" w:color="auto" w:fill="auto"/>
          <w:lang w:val="en-US" w:eastAsia="en-US" w:bidi="en-US"/>
        </w:rPr>
        <w:t>Testament</w:t>
      </w:r>
      <w:r>
        <w:rPr>
          <w:spacing w:val="0"/>
          <w:w w:val="100"/>
          <w:position w:val="0"/>
          <w:shd w:val="clear" w:color="auto" w:fill="auto"/>
          <w:lang w:val="en-US" w:eastAsia="en-US" w:bidi="en-US"/>
        </w:rPr>
        <w:t xml:space="preserve"> of Ephraim@@</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has been printed in the </w:t>
      </w:r>
      <w:r>
        <w:rPr>
          <w:i/>
          <w:iCs/>
          <w:spacing w:val="0"/>
          <w:w w:val="100"/>
          <w:position w:val="0"/>
          <w:shd w:val="clear" w:color="auto" w:fill="auto"/>
          <w:lang w:val="en-US" w:eastAsia="en-US" w:bidi="en-US"/>
        </w:rPr>
        <w:t xml:space="preserve">Opera </w:t>
      </w:r>
      <w:r>
        <w:rPr>
          <w:i/>
          <w:iCs/>
          <w:spacing w:val="0"/>
          <w:w w:val="100"/>
          <w:position w:val="0"/>
          <w:shd w:val="clear" w:color="auto" w:fill="auto"/>
          <w:lang w:val="fr-FR" w:eastAsia="fr-FR" w:bidi="fr-FR"/>
        </w:rPr>
        <w:t>Græca,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ii. pp. 395-410 (with various readings at p. 433), and again by </w:t>
      </w:r>
      <w:r>
        <w:rPr>
          <w:spacing w:val="0"/>
          <w:w w:val="100"/>
          <w:position w:val="0"/>
          <w:shd w:val="clear" w:color="auto" w:fill="auto"/>
          <w:lang w:val="de-DE" w:eastAsia="de-DE" w:bidi="de-DE"/>
        </w:rPr>
        <w:t xml:space="preserve">Overbeck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pp. 137-156).@@</w:t>
      </w:r>
      <w:r>
        <w:rPr>
          <w:spacing w:val="0"/>
          <w:w w:val="100"/>
          <w:position w:val="0"/>
          <w:shd w:val="clear" w:color="auto" w:fill="auto"/>
          <w:vertAlign w:val="superscript"/>
          <w:lang w:val="en-US" w:eastAsia="en-US" w:bidi="en-US"/>
        </w:rPr>
        <w:t>5</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Notwithstanding his vast fecundity and great popularity as a theological writer, Ephraim seems not to have had any pupils worthy to take his place. In the </w:t>
      </w:r>
      <w:r>
        <w:rPr>
          <w:i/>
          <w:iCs/>
          <w:spacing w:val="0"/>
          <w:w w:val="100"/>
          <w:position w:val="0"/>
          <w:shd w:val="clear" w:color="auto" w:fill="auto"/>
          <w:lang w:val="en-US" w:eastAsia="en-US" w:bidi="en-US"/>
        </w:rPr>
        <w:t>Testament</w:t>
      </w:r>
      <w:r>
        <w:rPr>
          <w:spacing w:val="0"/>
          <w:w w:val="100"/>
          <w:position w:val="0"/>
          <w:shd w:val="clear" w:color="auto" w:fill="auto"/>
          <w:lang w:val="en-US" w:eastAsia="en-US" w:bidi="en-US"/>
        </w:rPr>
        <w:t xml:space="preserve"> we find mentioned with high commendation the names of Abh</w:t>
      </w:r>
      <w:r>
        <w:rPr>
          <w:color w:val="000000"/>
          <w:spacing w:val="0"/>
          <w:w w:val="100"/>
          <w:position w:val="0"/>
          <w:shd w:val="clear" w:color="auto" w:fill="auto"/>
          <w:lang w:val="en-US" w:eastAsia="en-US" w:bidi="en-US"/>
        </w:rPr>
        <w:t>ā</w:t>
      </w:r>
      <w:r>
        <w:rPr>
          <w:spacing w:val="0"/>
          <w:w w:val="100"/>
          <w:position w:val="0"/>
          <w:shd w:val="clear" w:color="auto" w:fill="auto"/>
          <w:lang w:val="en-US" w:eastAsia="en-US" w:bidi="en-US"/>
        </w:rPr>
        <w:t xml:space="preserve">, Abraham, Simeon, </w:t>
      </w:r>
      <w:r>
        <w:rPr>
          <w:spacing w:val="0"/>
          <w:w w:val="100"/>
          <w:position w:val="0"/>
          <w:shd w:val="clear" w:color="auto" w:fill="auto"/>
          <w:lang w:val="fr-FR" w:eastAsia="fr-FR" w:bidi="fr-FR"/>
        </w:rPr>
        <w:t>M</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r</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Agg</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l, </w:t>
      </w:r>
      <w:r>
        <w:rPr>
          <w:spacing w:val="0"/>
          <w:w w:val="100"/>
          <w:position w:val="0"/>
          <w:shd w:val="clear" w:color="auto" w:fill="auto"/>
          <w:lang w:val="en-US" w:eastAsia="en-US" w:bidi="en-US"/>
        </w:rPr>
        <w:t xml:space="preserve">and Zenobius of </w:t>
      </w:r>
      <w:r>
        <w:rPr>
          <w:spacing w:val="0"/>
          <w:w w:val="100"/>
          <w:position w:val="0"/>
          <w:shd w:val="clear" w:color="auto" w:fill="auto"/>
          <w:lang w:val="fr-FR" w:eastAsia="fr-FR" w:bidi="fr-FR"/>
        </w:rPr>
        <w:t>G</w:t>
      </w:r>
      <w:r>
        <w:rPr>
          <w:spacing w:val="0"/>
          <w:w w:val="100"/>
          <w:position w:val="0"/>
          <w:shd w:val="clear" w:color="auto" w:fill="auto"/>
          <w:lang w:val="en-US" w:eastAsia="en-US" w:bidi="en-US"/>
        </w:rPr>
        <w:t>ĕ</w:t>
      </w:r>
      <w:r>
        <w:rPr>
          <w:spacing w:val="0"/>
          <w:w w:val="100"/>
          <w:position w:val="0"/>
          <w:shd w:val="clear" w:color="auto" w:fill="auto"/>
          <w:lang w:val="fr-FR" w:eastAsia="fr-FR" w:bidi="fr-FR"/>
        </w:rPr>
        <w:t>z</w:t>
      </w:r>
      <w:r>
        <w:rPr>
          <w:spacing w:val="0"/>
          <w:w w:val="100"/>
          <w:position w:val="0"/>
          <w:shd w:val="clear" w:color="auto" w:fill="auto"/>
          <w:lang w:val="en-US" w:eastAsia="en-US" w:bidi="en-US"/>
        </w:rPr>
        <w:t>ī</w:t>
      </w:r>
      <w:r>
        <w:rPr>
          <w:spacing w:val="0"/>
          <w:w w:val="100"/>
          <w:position w:val="0"/>
          <w:shd w:val="clear" w:color="auto" w:fill="auto"/>
          <w:lang w:val="fr-FR" w:eastAsia="fr-FR" w:bidi="fr-FR"/>
        </w:rPr>
        <w:t>rt</w:t>
      </w:r>
      <w:r>
        <w:rPr>
          <w:spacing w:val="0"/>
          <w:w w:val="100"/>
          <w:position w:val="0"/>
          <w:shd w:val="clear" w:color="auto" w:fill="auto"/>
          <w:lang w:val="en-US" w:eastAsia="en-US" w:bidi="en-US"/>
        </w:rPr>
        <w:t>ā</w:t>
      </w:r>
      <w:r>
        <w:rPr>
          <w:spacing w:val="0"/>
          <w:w w:val="100"/>
          <w:position w:val="0"/>
          <w:shd w:val="clear" w:color="auto" w:fill="auto"/>
          <w:lang w:val="fr-FR" w:eastAsia="fr-FR" w:bidi="fr-FR"/>
        </w:rPr>
        <w:t>,</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6</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to whom we may add Isaac@@</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and Jacob.@@</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Two, on the other hand, are named with de</w:t>
        <w:softHyphen/>
        <w:t>cided reprobation as heretics, namely, Paulonas (</w:t>
      </w:r>
      <w:r>
        <w:rPr>
          <w:i/>
          <w:iCs/>
          <w:spacing w:val="0"/>
          <w:w w:val="100"/>
          <w:position w:val="0"/>
          <w:shd w:val="clear" w:color="auto" w:fill="auto"/>
          <w:lang w:val="en-US" w:eastAsia="en-US" w:bidi="en-US"/>
        </w:rPr>
        <w:t>Παuλωv</w:t>
      </w:r>
      <w:r>
        <w:rPr>
          <w:i/>
          <w:iCs/>
          <w:spacing w:val="0"/>
          <w:w w:val="100"/>
          <w:position w:val="0"/>
          <w:shd w:val="clear" w:color="auto" w:fill="auto"/>
          <w:lang w:val="en-US" w:eastAsia="en-US" w:bidi="en-US"/>
        </w:rPr>
        <w:t>ας</w:t>
      </w:r>
      <w:r>
        <w:rPr>
          <w:spacing w:val="0"/>
          <w:w w:val="100"/>
          <w:position w:val="0"/>
          <w:shd w:val="clear" w:color="auto" w:fill="auto"/>
          <w:lang w:val="en-US" w:eastAsia="en-US" w:bidi="en-US"/>
        </w:rPr>
        <w:t xml:space="preserve">) or </w:t>
      </w:r>
      <w:r>
        <w:rPr>
          <w:spacing w:val="0"/>
          <w:w w:val="100"/>
          <w:position w:val="0"/>
          <w:shd w:val="clear" w:color="auto" w:fill="auto"/>
          <w:lang w:val="de-DE" w:eastAsia="de-DE" w:bidi="de-DE"/>
        </w:rPr>
        <w:t xml:space="preserve">Paulinus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Παuλωvo</w:t>
      </w:r>
      <w:r>
        <w:rPr>
          <w:i/>
          <w:iCs/>
          <w:spacing w:val="0"/>
          <w:w w:val="100"/>
          <w:position w:val="0"/>
          <w:shd w:val="clear" w:color="auto" w:fill="auto"/>
          <w:lang w:val="en-US" w:eastAsia="en-US" w:bidi="en-US"/>
        </w:rPr>
        <w:t>ς</w:t>
      </w:r>
      <w:r>
        <w:rPr>
          <w:spacing w:val="0"/>
          <w:w w:val="100"/>
          <w:position w:val="0"/>
          <w:shd w:val="clear" w:color="auto" w:fill="auto"/>
          <w:lang w:val="en-US" w:eastAsia="en-US" w:bidi="en-US"/>
        </w:rPr>
        <w:t>) and Arwadh or Arwat.@@</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Of these, </w:t>
      </w:r>
      <w:r>
        <w:rPr>
          <w:spacing w:val="0"/>
          <w:w w:val="100"/>
          <w:position w:val="0"/>
          <w:shd w:val="clear" w:color="auto" w:fill="auto"/>
          <w:lang w:val="de-DE" w:eastAsia="de-DE" w:bidi="de-DE"/>
        </w:rPr>
        <w:t>Abh</w:t>
      </w:r>
      <w:r>
        <w:rPr>
          <w:color w:val="000000"/>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is cited by later writers and compilers as the author of a commentary on the Gospels, a discourse on Job, and an exposition of Ps. xlii. 9.@@</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Paulonas or </w:t>
      </w:r>
      <w:r>
        <w:rPr>
          <w:spacing w:val="0"/>
          <w:w w:val="100"/>
          <w:position w:val="0"/>
          <w:shd w:val="clear" w:color="auto" w:fill="auto"/>
          <w:lang w:val="de-DE" w:eastAsia="de-DE" w:bidi="de-DE"/>
        </w:rPr>
        <w:t xml:space="preserve">Paulinus </w:t>
      </w:r>
      <w:r>
        <w:rPr>
          <w:spacing w:val="0"/>
          <w:w w:val="100"/>
          <w:position w:val="0"/>
          <w:shd w:val="clear" w:color="auto" w:fill="auto"/>
          <w:lang w:val="en-US" w:eastAsia="en-US" w:bidi="en-US"/>
        </w:rPr>
        <w:t xml:space="preserve">is probably the same who is mentioned by </w:t>
      </w:r>
      <w:r>
        <w:rPr>
          <w:spacing w:val="0"/>
          <w:w w:val="100"/>
          <w:position w:val="0"/>
          <w:shd w:val="clear" w:color="auto" w:fill="auto"/>
          <w:lang w:val="fr-FR" w:eastAsia="fr-FR" w:bidi="fr-FR"/>
        </w:rPr>
        <w:t>'Abhd-</w:t>
      </w:r>
      <w:r>
        <w:rPr>
          <w:spacing w:val="0"/>
          <w:w w:val="100"/>
          <w:position w:val="0"/>
          <w:shd w:val="clear" w:color="auto" w:fill="auto"/>
          <w:lang w:val="en-US" w:eastAsia="en-US" w:bidi="en-US"/>
        </w:rPr>
        <w:t>ī</w:t>
      </w:r>
      <w:r>
        <w:rPr>
          <w:spacing w:val="0"/>
          <w:w w:val="100"/>
          <w:position w:val="0"/>
          <w:shd w:val="clear" w:color="auto" w:fill="auto"/>
          <w:lang w:val="fr-FR" w:eastAsia="fr-FR" w:bidi="fr-FR"/>
        </w:rPr>
        <w:t>sh</w:t>
      </w:r>
      <w:r>
        <w:rPr>
          <w:spacing w:val="0"/>
          <w:w w:val="100"/>
          <w:position w:val="0"/>
          <w:shd w:val="clear" w:color="auto" w:fill="auto"/>
          <w:lang w:val="en-US" w:eastAsia="en-US" w:bidi="en-US"/>
        </w:rPr>
        <w:t>ō</w:t>
      </w:r>
      <w:r>
        <w:rPr>
          <w:spacing w:val="0"/>
          <w:w w:val="100"/>
          <w:position w:val="0"/>
          <w:shd w:val="clear" w:color="auto" w:fill="auto"/>
          <w:lang w:val="fr-FR" w:eastAsia="fr-FR" w:bidi="fr-FR"/>
        </w:rPr>
        <w:t>'</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as having written </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madhr</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sh</w:t>
      </w:r>
      <w:r>
        <w:rPr>
          <w:i/>
          <w:iCs/>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or metrical homi</w:t>
        <w:softHyphen/>
        <w:t xml:space="preserve">lies, discourses against inquirers, disputations against Marcion, and a treatise concerning believers and the creed.” Zenobius, who was deacon of the church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according to the same authority,@@</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composed treatises against Marcion and </w:t>
      </w:r>
      <w:r>
        <w:rPr>
          <w:spacing w:val="0"/>
          <w:w w:val="100"/>
          <w:position w:val="0"/>
          <w:shd w:val="clear" w:color="auto" w:fill="auto"/>
          <w:lang w:val="la-001" w:eastAsia="la-001" w:bidi="la-001"/>
        </w:rPr>
        <w:t xml:space="preserve">Pamphylius </w:t>
      </w:r>
      <w:r>
        <w:rPr>
          <w:spacing w:val="0"/>
          <w:w w:val="100"/>
          <w:position w:val="0"/>
          <w:shd w:val="clear" w:color="auto" w:fill="auto"/>
          <w:lang w:val="en-US" w:eastAsia="en-US" w:bidi="en-US"/>
        </w:rPr>
        <w:t>(?), besides sundry epistles. He was also the teacher of Isaac of Antioch, of whom we shall speak shortly.</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Better known than any of these disciples of Ephraim are two writers who belong to the close of this century and the beginning of the next, </w:t>
      </w:r>
      <w:r>
        <w:rPr>
          <w:spacing w:val="0"/>
          <w:w w:val="100"/>
          <w:position w:val="0"/>
          <w:shd w:val="clear" w:color="auto" w:fill="auto"/>
          <w:lang w:val="fr-FR" w:eastAsia="fr-FR" w:bidi="fr-FR"/>
        </w:rPr>
        <w:t xml:space="preserve">Balai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Cyrill</w:t>
      </w:r>
      <w:r>
        <w:rPr>
          <w:spacing w:val="0"/>
          <w:w w:val="100"/>
          <w:position w:val="0"/>
          <w:shd w:val="clear" w:color="auto" w:fill="auto"/>
          <w:lang w:val="en-US" w:eastAsia="en-US" w:bidi="en-US"/>
        </w:rPr>
        <w:t>ō</w:t>
      </w:r>
      <w:r>
        <w:rPr>
          <w:spacing w:val="0"/>
          <w:w w:val="100"/>
          <w:position w:val="0"/>
          <w:shd w:val="clear" w:color="auto" w:fill="auto"/>
          <w:lang w:val="de-DE" w:eastAsia="de-DE" w:bidi="de-DE"/>
        </w:rPr>
        <w:t>n</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 date of </w:t>
      </w:r>
      <w:r>
        <w:rPr>
          <w:spacing w:val="0"/>
          <w:w w:val="100"/>
          <w:position w:val="0"/>
          <w:shd w:val="clear" w:color="auto" w:fill="auto"/>
          <w:lang w:val="fr-FR" w:eastAsia="fr-FR" w:bidi="fr-FR"/>
        </w:rPr>
        <w:t xml:space="preserve">Balai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 xml:space="preserve">Balæus, </w:t>
      </w:r>
      <w:r>
        <w:rPr>
          <w:spacing w:val="0"/>
          <w:w w:val="100"/>
          <w:position w:val="0"/>
          <w:shd w:val="clear" w:color="auto" w:fill="auto"/>
          <w:lang w:val="la-001" w:eastAsia="la-001" w:bidi="la-001"/>
        </w:rPr>
        <w:t xml:space="preserve">chorepiscopus </w:t>
      </w:r>
      <w:r>
        <w:rPr>
          <w:spacing w:val="0"/>
          <w:w w:val="100"/>
          <w:position w:val="0"/>
          <w:shd w:val="clear" w:color="auto" w:fill="auto"/>
          <w:lang w:val="en-US" w:eastAsia="en-US" w:bidi="en-US"/>
        </w:rPr>
        <w:t xml:space="preserve">(as it seems) of the diocese of Aleppo, is fixed by his being mentioned by </w:t>
      </w:r>
      <w:r>
        <w:rPr>
          <w:spacing w:val="0"/>
          <w:w w:val="100"/>
          <w:position w:val="0"/>
          <w:shd w:val="clear" w:color="auto" w:fill="auto"/>
          <w:lang w:val="fr-FR" w:eastAsia="fr-FR" w:bidi="fr-FR"/>
        </w:rPr>
        <w:t>Bar-Hebræus</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after Ephraim, but before the time of the council of Ephesus (431). Acacius, bishop of Aleppo, whom he celebrates in one of his poems, must therefore, as Bickell says,@@</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be the same Acacius who had a share in converting </w:t>
      </w:r>
      <w:r>
        <w:rPr>
          <w:spacing w:val="0"/>
          <w:w w:val="100"/>
          <w:position w:val="0"/>
          <w:shd w:val="clear" w:color="auto" w:fill="auto"/>
          <w:lang w:val="de-DE" w:eastAsia="de-DE" w:bidi="de-DE"/>
        </w:rPr>
        <w:t>Rabb</w:t>
      </w:r>
      <w:r>
        <w:rPr>
          <w:spacing w:val="0"/>
          <w:w w:val="100"/>
          <w:position w:val="0"/>
          <w:shd w:val="clear" w:color="auto" w:fill="auto"/>
          <w:lang w:val="en-US" w:eastAsia="en-US" w:bidi="en-US"/>
        </w:rPr>
        <w:t>ū</w:t>
      </w:r>
      <w:r>
        <w:rPr>
          <w:spacing w:val="0"/>
          <w:w w:val="100"/>
          <w:position w:val="0"/>
          <w:shd w:val="clear" w:color="auto" w:fill="auto"/>
          <w:lang w:val="de-DE" w:eastAsia="de-DE" w:bidi="de-DE"/>
        </w:rPr>
        <w:t>l</w:t>
      </w:r>
      <w:r>
        <w:rPr>
          <w:spacing w:val="0"/>
          <w:w w:val="100"/>
          <w:position w:val="0"/>
          <w:shd w:val="clear" w:color="auto" w:fill="auto"/>
          <w:lang w:val="en-US" w:eastAsia="en-US" w:bidi="en-US"/>
        </w:rPr>
        <w:t>ā to Christianity,@@</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and died at an extreme old age (it is said 110 years) in 432. His favourite metre was the pentasyllablc, which is known by his name, as the heptasyllabic by that of Ephraim, and the twelve-syllable line by that of Jacob of </w:t>
      </w:r>
      <w:r>
        <w:rPr>
          <w:spacing w:val="0"/>
          <w:w w:val="100"/>
          <w:position w:val="0"/>
          <w:shd w:val="clear" w:color="auto" w:fill="auto"/>
          <w:lang w:val="fr-FR" w:eastAsia="fr-FR" w:bidi="fr-FR"/>
        </w:rPr>
        <w:t>S</w:t>
      </w:r>
      <w:r>
        <w:rPr>
          <w:spacing w:val="0"/>
          <w:w w:val="100"/>
          <w:position w:val="0"/>
          <w:shd w:val="clear" w:color="auto" w:fill="auto"/>
          <w:lang w:val="en-US" w:eastAsia="en-US" w:bidi="en-US"/>
        </w:rPr>
        <w:t>ĕ</w:t>
      </w:r>
      <w:r>
        <w:rPr>
          <w:spacing w:val="0"/>
          <w:w w:val="100"/>
          <w:position w:val="0"/>
          <w:shd w:val="clear" w:color="auto" w:fill="auto"/>
          <w:lang w:val="fr-FR" w:eastAsia="fr-FR" w:bidi="fr-FR"/>
        </w:rPr>
        <w:t>r</w:t>
      </w:r>
      <w:r>
        <w:rPr>
          <w:spacing w:val="0"/>
          <w:w w:val="100"/>
          <w:position w:val="0"/>
          <w:shd w:val="clear" w:color="auto" w:fill="auto"/>
          <w:lang w:val="en-US" w:eastAsia="en-US" w:bidi="en-US"/>
        </w:rPr>
        <w:t>ū</w:t>
      </w:r>
      <w:r>
        <w:rPr>
          <w:spacing w:val="0"/>
          <w:w w:val="100"/>
          <w:position w:val="0"/>
          <w:shd w:val="clear" w:color="auto" w:fill="auto"/>
          <w:lang w:val="fr-FR" w:eastAsia="fr-FR" w:bidi="fr-FR"/>
        </w:rPr>
        <w:t xml:space="preserve">gh. </w:t>
      </w:r>
      <w:r>
        <w:rPr>
          <w:spacing w:val="0"/>
          <w:w w:val="100"/>
          <w:position w:val="0"/>
          <w:shd w:val="clear" w:color="auto" w:fill="auto"/>
          <w:lang w:val="en-US" w:eastAsia="en-US" w:bidi="en-US"/>
        </w:rPr>
        <w:t xml:space="preserve">Some of his poems have been edited by </w:t>
      </w:r>
      <w:r>
        <w:rPr>
          <w:spacing w:val="0"/>
          <w:w w:val="100"/>
          <w:position w:val="0"/>
          <w:shd w:val="clear" w:color="auto" w:fill="auto"/>
          <w:lang w:val="de-DE" w:eastAsia="de-DE" w:bidi="de-DE"/>
        </w:rPr>
        <w:t xml:space="preserve">Overbeck </w:t>
      </w:r>
      <w:r>
        <w:rPr>
          <w:spacing w:val="0"/>
          <w:w w:val="100"/>
          <w:position w:val="0"/>
          <w:shd w:val="clear" w:color="auto" w:fill="auto"/>
          <w:lang w:val="en-US" w:eastAsia="en-US" w:bidi="en-US"/>
        </w:rPr>
        <w:t xml:space="preserve">in the often cited collection </w:t>
      </w:r>
      <w:r>
        <w:rPr>
          <w:i/>
          <w:iCs/>
          <w:spacing w:val="0"/>
          <w:w w:val="100"/>
          <w:position w:val="0"/>
          <w:shd w:val="clear" w:color="auto" w:fill="auto"/>
          <w:lang w:val="en-US" w:eastAsia="en-US" w:bidi="en-US"/>
        </w:rPr>
        <w:t>S. Ephraemi Syri,</w:t>
      </w:r>
      <w:r>
        <w:rPr>
          <w:spacing w:val="0"/>
          <w:w w:val="100"/>
          <w:position w:val="0"/>
          <w:shd w:val="clear" w:color="auto" w:fill="auto"/>
          <w:lang w:val="en-US" w:eastAsia="en-US" w:bidi="en-US"/>
        </w:rPr>
        <w:t xml:space="preserve"> &amp;c., </w:t>
      </w:r>
      <w:r>
        <w:rPr>
          <w:i/>
          <w:iCs/>
          <w:spacing w:val="0"/>
          <w:w w:val="100"/>
          <w:position w:val="0"/>
          <w:shd w:val="clear" w:color="auto" w:fill="auto"/>
          <w:lang w:val="en-US" w:eastAsia="en-US" w:bidi="en-US"/>
        </w:rPr>
        <w:t xml:space="preserve">Opera </w:t>
      </w:r>
      <w:r>
        <w:rPr>
          <w:i/>
          <w:iCs/>
          <w:spacing w:val="0"/>
          <w:w w:val="100"/>
          <w:position w:val="0"/>
          <w:shd w:val="clear" w:color="auto" w:fill="auto"/>
          <w:lang w:val="la-001" w:eastAsia="la-001" w:bidi="la-001"/>
        </w:rPr>
        <w:t>Selecta,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pp. 251-336, namely, a poem on the dedication of the newly built church in the town of Ken- neshrīn (Kinnesr</w:t>
      </w:r>
      <w:r>
        <w:rPr>
          <w:color w:val="000000"/>
          <w:spacing w:val="0"/>
          <w:w w:val="100"/>
          <w:position w:val="0"/>
          <w:shd w:val="clear" w:color="auto" w:fill="auto"/>
          <w:lang w:val="en-US" w:eastAsia="en-US" w:bidi="en-US"/>
        </w:rPr>
        <w:t>ī</w:t>
      </w:r>
      <w:r>
        <w:rPr>
          <w:spacing w:val="0"/>
          <w:w w:val="100"/>
          <w:position w:val="0"/>
          <w:shd w:val="clear" w:color="auto" w:fill="auto"/>
          <w:lang w:val="en-US" w:eastAsia="en-US" w:bidi="en-US"/>
        </w:rPr>
        <w:t>n), five poems in praise of Acacius, the late bishop of Aleppo, the first and eighth homilies on the history of Joseph, specimens of prayers, and a fragment on the death of Aaron.@@</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Cyrill</w:t>
      </w:r>
      <w:r>
        <w:rPr>
          <w:spacing w:val="0"/>
          <w:w w:val="100"/>
          <w:position w:val="0"/>
          <w:shd w:val="clear" w:color="auto" w:fill="auto"/>
          <w:lang w:val="en-US" w:eastAsia="en-US" w:bidi="en-US"/>
        </w:rPr>
        <w:t>ō</w:t>
      </w:r>
      <w:r>
        <w:rPr>
          <w:spacing w:val="0"/>
          <w:w w:val="100"/>
          <w:position w:val="0"/>
          <w:shd w:val="clear" w:color="auto" w:fill="auto"/>
          <w:lang w:val="de-DE" w:eastAsia="de-DE" w:bidi="de-DE"/>
        </w:rPr>
        <w:t>n</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composed a poem “on the locusts, and on</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(divine) chastisement, and on the invasion of the Huns,”@@</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in which he says: “The North is distressed and full of wars; and if Thou be neglectful, O Lord, they will again lay me waste. If the Huns, O Lord, conquer me, why do I seek refuge with the martyrs ? If their swords lay me waste, why do I lay hold on Thy great Cross ? If Thou givest up my cities unto them, where is the glory of Thy holy Church ? A year is not yet at an end since they came forth and laid us waste and took my children captive ; and lo, a second time they threaten our land that they will humble it.” Now the invasion of the Huns took place in 395,@@</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and this poem must have been written in the following year (396). The few re</w:t>
        <w:softHyphen/>
        <w:t xml:space="preserve">maining writings of </w:t>
      </w:r>
      <w:r>
        <w:rPr>
          <w:spacing w:val="0"/>
          <w:w w:val="100"/>
          <w:position w:val="0"/>
          <w:shd w:val="clear" w:color="auto" w:fill="auto"/>
          <w:lang w:val="de-DE" w:eastAsia="de-DE" w:bidi="de-DE"/>
        </w:rPr>
        <w:t>Cyrill</w:t>
      </w:r>
      <w:r>
        <w:rPr>
          <w:spacing w:val="0"/>
          <w:w w:val="100"/>
          <w:position w:val="0"/>
          <w:shd w:val="clear" w:color="auto" w:fill="auto"/>
          <w:lang w:val="en-US" w:eastAsia="en-US" w:bidi="en-US"/>
        </w:rPr>
        <w:t>ō</w:t>
      </w:r>
      <w:r>
        <w:rPr>
          <w:spacing w:val="0"/>
          <w:w w:val="100"/>
          <w:position w:val="0"/>
          <w:shd w:val="clear" w:color="auto" w:fill="auto"/>
          <w:lang w:val="de-DE" w:eastAsia="de-DE" w:bidi="de-DE"/>
        </w:rPr>
        <w:t>n</w:t>
      </w:r>
      <w:r>
        <w:rPr>
          <w:spacing w:val="0"/>
          <w:w w:val="100"/>
          <w:position w:val="0"/>
          <w:shd w:val="clear" w:color="auto" w:fill="auto"/>
          <w:lang w:val="en-US" w:eastAsia="en-US" w:bidi="en-US"/>
        </w:rPr>
        <w:t>ā</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composed in various metres, have been edited by Bickell in the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xxvii. p. 566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and translated by him in Thalhofer’s </w:t>
      </w:r>
      <w:r>
        <w:rPr>
          <w:i/>
          <w:iCs/>
          <w:spacing w:val="0"/>
          <w:w w:val="100"/>
          <w:position w:val="0"/>
          <w:shd w:val="clear" w:color="auto" w:fill="auto"/>
          <w:lang w:val="de-DE" w:eastAsia="de-DE" w:bidi="de-DE"/>
        </w:rPr>
        <w:t>Bibliothek,</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41, pp. 9-63.@@</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Bickell@@</w:t>
      </w:r>
      <w:r>
        <w:rPr>
          <w:spacing w:val="0"/>
          <w:w w:val="100"/>
          <w:position w:val="0"/>
          <w:shd w:val="clear" w:color="auto" w:fill="auto"/>
          <w:vertAlign w:val="superscript"/>
          <w:lang w:val="en-US" w:eastAsia="en-US" w:bidi="en-US"/>
        </w:rPr>
        <w:t xml:space="preserve">20 </w:t>
      </w:r>
      <w:r>
        <w:rPr>
          <w:spacing w:val="0"/>
          <w:w w:val="100"/>
          <w:position w:val="0"/>
          <w:shd w:val="clear" w:color="auto" w:fill="auto"/>
          <w:lang w:val="en-US" w:eastAsia="en-US" w:bidi="en-US"/>
        </w:rPr>
        <w:t xml:space="preserve">is inclined to identify this </w:t>
      </w:r>
      <w:r>
        <w:rPr>
          <w:spacing w:val="0"/>
          <w:w w:val="100"/>
          <w:position w:val="0"/>
          <w:shd w:val="clear" w:color="auto" w:fill="auto"/>
          <w:lang w:val="de-DE" w:eastAsia="de-DE" w:bidi="de-DE"/>
        </w:rPr>
        <w:t>Cyrill</w:t>
      </w:r>
      <w:r>
        <w:rPr>
          <w:spacing w:val="0"/>
          <w:w w:val="100"/>
          <w:position w:val="0"/>
          <w:shd w:val="clear" w:color="auto" w:fill="auto"/>
          <w:lang w:val="en-US" w:eastAsia="en-US" w:bidi="en-US"/>
        </w:rPr>
        <w:t>ō</w:t>
      </w:r>
      <w:r>
        <w:rPr>
          <w:spacing w:val="0"/>
          <w:w w:val="100"/>
          <w:position w:val="0"/>
          <w:shd w:val="clear" w:color="auto" w:fill="auto"/>
          <w:lang w:val="de-DE" w:eastAsia="de-DE" w:bidi="de-DE"/>
        </w:rPr>
        <w:t>n</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with another writer of the same period, </w:t>
      </w:r>
      <w:r>
        <w:rPr>
          <w:spacing w:val="0"/>
          <w:w w:val="100"/>
          <w:position w:val="0"/>
          <w:shd w:val="clear" w:color="auto" w:fill="auto"/>
          <w:lang w:val="fr-FR" w:eastAsia="fr-FR" w:bidi="fr-FR"/>
        </w:rPr>
        <w:t>'Abhsamy</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priest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Ephraim’s sister’s son and a pupil of Zenobius ; but his reasons do not seem to us sufficient. The </w:t>
      </w:r>
      <w:r>
        <w:rPr>
          <w:i/>
          <w:iCs/>
          <w:spacing w:val="0"/>
          <w:w w:val="100"/>
          <w:position w:val="0"/>
          <w:shd w:val="clear" w:color="auto" w:fill="auto"/>
          <w:lang w:val="en-US" w:eastAsia="en-US" w:bidi="en-US"/>
        </w:rPr>
        <w:t>Chron. Edess. (Β.O.,</w:t>
      </w:r>
      <w:r>
        <w:rPr>
          <w:spacing w:val="0"/>
          <w:w w:val="100"/>
          <w:position w:val="0"/>
          <w:shd w:val="clear" w:color="auto" w:fill="auto"/>
          <w:lang w:val="en-US" w:eastAsia="en-US" w:bidi="en-US"/>
        </w:rPr>
        <w:t xml:space="preserve"> i. 401) states that </w:t>
      </w:r>
      <w:r>
        <w:rPr>
          <w:spacing w:val="0"/>
          <w:w w:val="100"/>
          <w:position w:val="0"/>
          <w:shd w:val="clear" w:color="auto" w:fill="auto"/>
          <w:lang w:val="fr-FR" w:eastAsia="fr-FR" w:bidi="fr-FR"/>
        </w:rPr>
        <w:t>'Abhsamy</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composed his hymns and discourses on the invasion of the Huns in 404 ; and Dionysius of </w:t>
      </w:r>
      <w:r>
        <w:rPr>
          <w:spacing w:val="0"/>
          <w:w w:val="100"/>
          <w:position w:val="0"/>
          <w:shd w:val="clear" w:color="auto" w:fill="auto"/>
          <w:lang w:val="fr-FR" w:eastAsia="fr-FR" w:bidi="fr-FR"/>
        </w:rPr>
        <w:t>Tell-Ma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r</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169) speaks of him in the year 397.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is less precise as to the date : after mentioning the death of Chrysostom (in 407), he adds that about this time Theodore of Mopsuestia died (429) and </w:t>
      </w:r>
      <w:r>
        <w:rPr>
          <w:spacing w:val="0"/>
          <w:w w:val="100"/>
          <w:position w:val="0"/>
          <w:shd w:val="clear" w:color="auto" w:fill="auto"/>
          <w:lang w:val="fr-FR" w:eastAsia="fr-FR" w:bidi="fr-FR"/>
        </w:rPr>
        <w:t>'Abhsamy</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flourished, who “composed many discourses in the (heptasyllabic) metre of </w:t>
      </w:r>
      <w:r>
        <w:rPr>
          <w:spacing w:val="0"/>
          <w:w w:val="100"/>
          <w:position w:val="0"/>
          <w:shd w:val="clear" w:color="auto" w:fill="auto"/>
          <w:lang w:val="de-DE" w:eastAsia="de-DE" w:bidi="de-DE"/>
        </w:rPr>
        <w:t xml:space="preserve">Mär </w:t>
      </w:r>
      <w:r>
        <w:rPr>
          <w:spacing w:val="0"/>
          <w:w w:val="100"/>
          <w:position w:val="0"/>
          <w:shd w:val="clear" w:color="auto" w:fill="auto"/>
          <w:lang w:val="en-US" w:eastAsia="en-US" w:bidi="en-US"/>
        </w:rPr>
        <w:t>Ephraim” on the invasion of the Huns.@@</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That </w:t>
      </w:r>
      <w:r>
        <w:rPr>
          <w:spacing w:val="0"/>
          <w:w w:val="100"/>
          <w:position w:val="0"/>
          <w:shd w:val="clear" w:color="auto" w:fill="auto"/>
          <w:lang w:val="fr-FR" w:eastAsia="fr-FR" w:bidi="fr-FR"/>
        </w:rPr>
        <w:t>'Abhsamy</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may have taken the name of </w:t>
      </w:r>
      <w:r>
        <w:rPr>
          <w:spacing w:val="0"/>
          <w:w w:val="100"/>
          <w:position w:val="0"/>
          <w:shd w:val="clear" w:color="auto" w:fill="auto"/>
          <w:lang w:val="de-DE" w:eastAsia="de-DE" w:bidi="de-DE"/>
        </w:rPr>
        <w:t>Cyrill</w:t>
      </w:r>
      <w:r>
        <w:rPr>
          <w:spacing w:val="0"/>
          <w:w w:val="100"/>
          <w:position w:val="0"/>
          <w:shd w:val="clear" w:color="auto" w:fill="auto"/>
          <w:lang w:val="en-US" w:eastAsia="en-US" w:bidi="en-US"/>
        </w:rPr>
        <w:t>ō</w:t>
      </w:r>
      <w:r>
        <w:rPr>
          <w:spacing w:val="0"/>
          <w:w w:val="100"/>
          <w:position w:val="0"/>
          <w:shd w:val="clear" w:color="auto" w:fill="auto"/>
          <w:lang w:val="de-DE" w:eastAsia="de-DE" w:bidi="de-DE"/>
        </w:rPr>
        <w:t>n</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at his ordination is of course possible, but it seems strange that none of these three writers should have mentioned it, if such were the case. On Bar- </w:t>
      </w:r>
      <w:r>
        <w:rPr>
          <w:spacing w:val="0"/>
          <w:w w:val="100"/>
          <w:position w:val="0"/>
          <w:shd w:val="clear" w:color="auto" w:fill="auto"/>
          <w:lang w:val="fr-FR" w:eastAsia="fr-FR" w:bidi="fr-FR"/>
        </w:rPr>
        <w:t xml:space="preserve">Hebræus’s </w:t>
      </w:r>
      <w:r>
        <w:rPr>
          <w:spacing w:val="0"/>
          <w:w w:val="100"/>
          <w:position w:val="0"/>
          <w:shd w:val="clear" w:color="auto" w:fill="auto"/>
          <w:lang w:val="en-US" w:eastAsia="en-US" w:bidi="en-US"/>
        </w:rPr>
        <w:t>statement regarding the metre which he used in his discourses we do not insist ; he might easily make a mistake in such a matter.</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During the latter part of the 4th century, too, there lived in the island of Cyprus the abbot Gregory, who appears to have been sent thither from some monastery in Palestine as the spiritual head of the Syriac-speaking monks in the island.@@</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He cherished friendly relations with Epiphanius, afterwards bishop of </w:t>
      </w:r>
      <w:r>
        <w:rPr>
          <w:spacing w:val="0"/>
          <w:w w:val="100"/>
          <w:position w:val="0"/>
          <w:shd w:val="clear" w:color="auto" w:fill="auto"/>
          <w:lang w:val="fr-FR" w:eastAsia="fr-FR" w:bidi="fr-FR"/>
        </w:rPr>
        <w:t xml:space="preserve">Salamis </w:t>
      </w:r>
      <w:r>
        <w:rPr>
          <w:spacing w:val="0"/>
          <w:w w:val="100"/>
          <w:position w:val="0"/>
          <w:shd w:val="clear" w:color="auto" w:fill="auto"/>
          <w:lang w:val="en-US" w:eastAsia="en-US" w:bidi="en-US"/>
        </w:rPr>
        <w:t>or Constantia (367-403), and a monk named Theodore. To these are addressed several of his discourses and letters ; others are general exhortations to the monks under his charge.@@</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The dis</w:t>
        <w:softHyphen/>
        <w:t xml:space="preserve">courses seem to be only portions of a work on the monastic life, which has not come down to us in a complete form, the “book” mentioned by </w:t>
      </w:r>
      <w:r>
        <w:rPr>
          <w:spacing w:val="0"/>
          <w:w w:val="100"/>
          <w:position w:val="0"/>
          <w:shd w:val="clear" w:color="auto" w:fill="auto"/>
          <w:lang w:val="fr-FR" w:eastAsia="fr-FR" w:bidi="fr-FR"/>
        </w:rPr>
        <w:t>'Abhd-</w:t>
      </w:r>
      <w:r>
        <w:rPr>
          <w:spacing w:val="0"/>
          <w:w w:val="100"/>
          <w:position w:val="0"/>
          <w:shd w:val="clear" w:color="auto" w:fill="auto"/>
          <w:lang w:val="en-US" w:eastAsia="en-US" w:bidi="en-US"/>
        </w:rPr>
        <w:t>ī</w:t>
      </w:r>
      <w:r>
        <w:rPr>
          <w:spacing w:val="0"/>
          <w:w w:val="100"/>
          <w:position w:val="0"/>
          <w:shd w:val="clear" w:color="auto" w:fill="auto"/>
          <w:lang w:val="fr-FR" w:eastAsia="fr-FR" w:bidi="fr-FR"/>
        </w:rPr>
        <w:t>sh</w:t>
      </w:r>
      <w:r>
        <w:rPr>
          <w:spacing w:val="0"/>
          <w:w w:val="100"/>
          <w:position w:val="0"/>
          <w:shd w:val="clear" w:color="auto" w:fill="auto"/>
          <w:lang w:val="en-US" w:eastAsia="en-US" w:bidi="en-US"/>
        </w:rPr>
        <w:t>ō</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191. In the letters he addresses Epiphanius as an older man speaking with authority to a younger ; it is to be presumed, therefore, that they were written before Epiphanius became bishop.</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With the 5th century commences the native historical literature of Syria. Previous to this time there existed martyrologies and lives of saints, martyrs, and other holy men, drawn up, in part at least, to meet the requirements of the services of the church. Such are, for example, the ancient martyrology in a manuscript of 411@@</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 the </w:t>
      </w:r>
      <w:r>
        <w:rPr>
          <w:i/>
          <w:iCs/>
          <w:spacing w:val="0"/>
          <w:w w:val="100"/>
          <w:position w:val="0"/>
          <w:shd w:val="clear" w:color="auto" w:fill="auto"/>
          <w:lang w:val="en-US" w:eastAsia="en-US" w:bidi="en-US"/>
        </w:rPr>
        <w:t>Doctrine of Addai,</w:t>
      </w:r>
      <w:r>
        <w:rPr>
          <w:spacing w:val="0"/>
          <w:w w:val="100"/>
          <w:position w:val="0"/>
          <w:shd w:val="clear" w:color="auto" w:fill="auto"/>
          <w:lang w:val="en-US" w:eastAsia="en-US" w:bidi="en-US"/>
        </w:rPr>
        <w:t xml:space="preserve"> in its present shape a product of the latter half of the 4th century@@</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 the </w:t>
      </w:r>
      <w:r>
        <w:rPr>
          <w:i/>
          <w:iCs/>
          <w:spacing w:val="0"/>
          <w:w w:val="100"/>
          <w:position w:val="0"/>
          <w:shd w:val="clear" w:color="auto" w:fill="auto"/>
          <w:lang w:val="la-001" w:eastAsia="la-001" w:bidi="la-001"/>
        </w:rPr>
        <w:t xml:space="preserve">Hypomnemata </w:t>
      </w:r>
      <w:r>
        <w:rPr>
          <w:i/>
          <w:iCs/>
          <w:spacing w:val="0"/>
          <w:w w:val="100"/>
          <w:position w:val="0"/>
          <w:shd w:val="clear" w:color="auto" w:fill="auto"/>
          <w:lang w:val="en-US" w:eastAsia="en-US" w:bidi="en-US"/>
        </w:rPr>
        <w:t xml:space="preserve">of </w:t>
      </w:r>
      <w:r>
        <w:rPr>
          <w:i/>
          <w:iCs/>
          <w:spacing w:val="0"/>
          <w:w w:val="100"/>
          <w:position w:val="0"/>
          <w:shd w:val="clear" w:color="auto" w:fill="auto"/>
          <w:lang w:val="fr-FR" w:eastAsia="fr-FR" w:bidi="fr-FR"/>
        </w:rPr>
        <w:t>Sharb</w:t>
      </w:r>
      <w:r>
        <w:rPr>
          <w:i/>
          <w:iCs/>
          <w:spacing w:val="0"/>
          <w:w w:val="100"/>
          <w:position w:val="0"/>
          <w:shd w:val="clear" w:color="auto" w:fill="auto"/>
          <w:lang w:val="en-US" w:eastAsia="en-US" w:bidi="en-US"/>
        </w:rPr>
        <w:t>ē</w:t>
      </w:r>
      <w:r>
        <w:rPr>
          <w:i/>
          <w:iCs/>
          <w:spacing w:val="0"/>
          <w:w w:val="100"/>
          <w:position w:val="0"/>
          <w:shd w:val="clear" w:color="auto" w:fill="auto"/>
          <w:lang w:val="fr-FR" w:eastAsia="fr-FR" w:bidi="fr-FR"/>
        </w:rPr>
        <w:t>l</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 xml:space="preserve">Martyrdoms of </w:t>
      </w:r>
      <w:r>
        <w:rPr>
          <w:i/>
          <w:iCs/>
          <w:spacing w:val="0"/>
          <w:w w:val="100"/>
          <w:position w:val="0"/>
          <w:shd w:val="clear" w:color="auto" w:fill="auto"/>
          <w:lang w:val="fr-FR" w:eastAsia="fr-FR" w:bidi="fr-FR"/>
        </w:rPr>
        <w:t>Bar-samy</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 xml:space="preserve">Bishop of </w:t>
      </w:r>
      <w:r>
        <w:rPr>
          <w:i/>
          <w:iCs/>
          <w:spacing w:val="0"/>
          <w:w w:val="100"/>
          <w:position w:val="0"/>
          <w:shd w:val="clear" w:color="auto" w:fill="auto"/>
          <w:lang w:val="la-001" w:eastAsia="la-001" w:bidi="la-001"/>
        </w:rPr>
        <w:t xml:space="preserve">Edessa, </w:t>
      </w:r>
      <w:r>
        <w:rPr>
          <w:i/>
          <w:iCs/>
          <w:spacing w:val="0"/>
          <w:w w:val="100"/>
          <w:position w:val="0"/>
          <w:shd w:val="clear" w:color="auto" w:fill="auto"/>
          <w:lang w:val="en-US" w:eastAsia="en-US" w:bidi="en-US"/>
        </w:rPr>
        <w:t xml:space="preserve">and the Deacon Ḥabbībh, </w:t>
      </w:r>
      <w:r>
        <w:rPr>
          <w:spacing w:val="0"/>
          <w:w w:val="100"/>
          <w:position w:val="0"/>
          <w:shd w:val="clear" w:color="auto" w:fill="auto"/>
          <w:lang w:val="en-US" w:eastAsia="en-US" w:bidi="en-US"/>
        </w:rPr>
        <w:t>which all belong to about the same period.@@</w:t>
      </w:r>
      <w:r>
        <w:rPr>
          <w:spacing w:val="0"/>
          <w:w w:val="100"/>
          <w:position w:val="0"/>
          <w:shd w:val="clear" w:color="auto" w:fill="auto"/>
          <w:vertAlign w:val="superscript"/>
          <w:lang w:val="en-US" w:eastAsia="en-US" w:bidi="en-US"/>
        </w:rPr>
        <w:t>26</w:t>
      </w:r>
      <w:r>
        <w:rPr>
          <w:spacing w:val="0"/>
          <w:w w:val="100"/>
          <w:position w:val="0"/>
          <w:shd w:val="clear" w:color="auto" w:fill="auto"/>
          <w:lang w:val="en-US" w:eastAsia="en-US" w:bidi="en-US"/>
        </w:rPr>
        <w:t xml:space="preserve"> This sort of legendary writing was carried on to a much later date.@@</w:t>
      </w: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 xml:space="preserve">History of Beth </w:t>
      </w:r>
      <w:r>
        <w:rPr>
          <w:i/>
          <w:iCs/>
          <w:spacing w:val="0"/>
          <w:w w:val="100"/>
          <w:position w:val="0"/>
          <w:shd w:val="clear" w:color="auto" w:fill="auto"/>
          <w:lang w:val="fr-FR" w:eastAsia="fr-FR" w:bidi="fr-FR"/>
        </w:rPr>
        <w:t>S</w:t>
      </w:r>
      <w:r>
        <w:rPr>
          <w:i/>
          <w:iCs/>
          <w:spacing w:val="0"/>
          <w:w w:val="100"/>
          <w:position w:val="0"/>
          <w:shd w:val="clear" w:color="auto" w:fill="auto"/>
          <w:lang w:val="en-US" w:eastAsia="en-US" w:bidi="en-US"/>
        </w:rPr>
        <w:t>ĕ</w:t>
      </w:r>
      <w:r>
        <w:rPr>
          <w:i/>
          <w:iCs/>
          <w:spacing w:val="0"/>
          <w:w w:val="100"/>
          <w:position w:val="0"/>
          <w:shd w:val="clear" w:color="auto" w:fill="auto"/>
          <w:lang w:val="fr-FR" w:eastAsia="fr-FR" w:bidi="fr-FR"/>
        </w:rPr>
        <w:t>l</w:t>
      </w:r>
      <w:r>
        <w:rPr>
          <w:i/>
          <w:iCs/>
          <w:spacing w:val="0"/>
          <w:w w:val="100"/>
          <w:position w:val="0"/>
          <w:shd w:val="clear" w:color="auto" w:fill="auto"/>
          <w:lang w:val="en-US" w:eastAsia="en-US" w:bidi="en-US"/>
        </w:rPr>
        <w:t>ō</w:t>
      </w:r>
      <w:r>
        <w:rPr>
          <w:i/>
          <w:iCs/>
          <w:spacing w:val="0"/>
          <w:w w:val="100"/>
          <w:position w:val="0"/>
          <w:shd w:val="clear" w:color="auto" w:fill="auto"/>
          <w:lang w:val="fr-FR" w:eastAsia="fr-FR" w:bidi="fr-FR"/>
        </w:rPr>
        <w:t xml:space="preserve">kh </w:t>
      </w:r>
      <w:r>
        <w:rPr>
          <w:i/>
          <w:iCs/>
          <w:spacing w:val="0"/>
          <w:w w:val="100"/>
          <w:position w:val="0"/>
          <w:shd w:val="clear" w:color="auto" w:fill="auto"/>
          <w:lang w:val="en-US" w:eastAsia="en-US" w:bidi="en-US"/>
        </w:rPr>
        <w:t>and its Martyrs,</w:t>
      </w:r>
      <w:r>
        <w:rPr>
          <w:spacing w:val="0"/>
          <w:w w:val="100"/>
          <w:position w:val="0"/>
          <w:shd w:val="clear" w:color="auto" w:fill="auto"/>
          <w:lang w:val="en-US" w:eastAsia="en-US" w:bidi="en-US"/>
        </w:rPr>
        <w:t xml:space="preserve"> for instance, can hardly have been composed before the 6th century, if so early@@</w:t>
      </w:r>
      <w:r>
        <w:rPr>
          <w:spacing w:val="0"/>
          <w:w w:val="100"/>
          <w:position w:val="0"/>
          <w:shd w:val="clear" w:color="auto" w:fill="auto"/>
          <w:vertAlign w:val="superscript"/>
          <w:lang w:val="en-US" w:eastAsia="en-US" w:bidi="en-US"/>
        </w:rPr>
        <w:t>28</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 xml:space="preserve">Acts of </w:t>
      </w:r>
      <w:r>
        <w:rPr>
          <w:i/>
          <w:iCs/>
          <w:spacing w:val="0"/>
          <w:w w:val="100"/>
          <w:position w:val="0"/>
          <w:shd w:val="clear" w:color="auto" w:fill="auto"/>
          <w:lang w:val="de-DE" w:eastAsia="de-DE" w:bidi="de-DE"/>
        </w:rPr>
        <w:t>März</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must be still later.@@</w:t>
      </w: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No larger collection of such documents had, however, been attempted before the time of </w:t>
      </w:r>
      <w:r>
        <w:rPr>
          <w:spacing w:val="0"/>
          <w:w w:val="100"/>
          <w:position w:val="0"/>
          <w:shd w:val="clear" w:color="auto" w:fill="auto"/>
          <w:lang w:val="de-DE" w:eastAsia="de-DE" w:bidi="de-DE"/>
        </w:rPr>
        <w:t>M</w:t>
      </w:r>
      <w:r>
        <w:rPr>
          <w:spacing w:val="0"/>
          <w:w w:val="100"/>
          <w:position w:val="0"/>
          <w:shd w:val="clear" w:color="auto" w:fill="auto"/>
          <w:lang w:val="en-US" w:eastAsia="en-US" w:bidi="en-US"/>
        </w:rPr>
        <w:t>ā</w:t>
      </w:r>
      <w:r>
        <w:rPr>
          <w:spacing w:val="0"/>
          <w:w w:val="100"/>
          <w:position w:val="0"/>
          <w:shd w:val="clear" w:color="auto" w:fill="auto"/>
          <w:lang w:val="de-DE" w:eastAsia="de-DE" w:bidi="de-DE"/>
        </w:rPr>
        <w:t>r</w:t>
      </w:r>
      <w:r>
        <w:rPr>
          <w:spacing w:val="0"/>
          <w:w w:val="100"/>
          <w:position w:val="0"/>
          <w:shd w:val="clear" w:color="auto" w:fill="auto"/>
          <w:lang w:val="en-US" w:eastAsia="en-US" w:bidi="en-US"/>
        </w:rPr>
        <w:t>ū</w:t>
      </w:r>
      <w:r>
        <w:rPr>
          <w:spacing w:val="0"/>
          <w:w w:val="100"/>
          <w:position w:val="0"/>
          <w:shd w:val="clear" w:color="auto" w:fill="auto"/>
          <w:lang w:val="de-DE" w:eastAsia="de-DE" w:bidi="de-DE"/>
        </w:rPr>
        <w:t>th</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bishop of Maiperkat,@@</w:t>
      </w:r>
      <w:r>
        <w:rPr>
          <w:spacing w:val="0"/>
          <w:w w:val="100"/>
          <w:position w:val="0"/>
          <w:shd w:val="clear" w:color="auto" w:fill="auto"/>
          <w:vertAlign w:val="superscript"/>
          <w:lang w:val="en-US" w:eastAsia="en-US" w:bidi="en-US"/>
        </w:rPr>
        <w:t>3θ</w:t>
      </w:r>
      <w:r>
        <w:rPr>
          <w:spacing w:val="0"/>
          <w:w w:val="100"/>
          <w:position w:val="0"/>
          <w:shd w:val="clear" w:color="auto" w:fill="auto"/>
          <w:lang w:val="en-US" w:eastAsia="en-US" w:bidi="en-US"/>
        </w:rPr>
        <w:t xml:space="preserve"> a man of much weight and authority, who was twice sent by the emperor Theodosius II. on embassies to the Persian monarch Yazdegerd I., and presided at the councils of Seleucia or Ctesiphon, under the catholics Isaac and </w:t>
      </w:r>
      <w:r>
        <w:rPr>
          <w:spacing w:val="0"/>
          <w:w w:val="100"/>
          <w:position w:val="0"/>
          <w:shd w:val="clear" w:color="auto" w:fill="auto"/>
          <w:lang w:val="de-DE" w:eastAsia="de-DE" w:bidi="de-DE"/>
        </w:rPr>
        <w:t>Yabh-al</w:t>
      </w:r>
      <w:r>
        <w:rPr>
          <w:spacing w:val="0"/>
          <w:w w:val="100"/>
          <w:position w:val="0"/>
          <w:shd w:val="clear" w:color="auto" w:fill="auto"/>
          <w:lang w:val="en-US" w:eastAsia="en-US" w:bidi="en-US"/>
        </w:rPr>
        <w:t>ā</w:t>
      </w:r>
      <w:r>
        <w:rPr>
          <w:spacing w:val="0"/>
          <w:w w:val="100"/>
          <w:position w:val="0"/>
          <w:shd w:val="clear" w:color="auto" w:fill="auto"/>
          <w:lang w:val="de-DE" w:eastAsia="de-DE" w:bidi="de-DE"/>
        </w:rPr>
        <w:t>h</w:t>
      </w:r>
      <w:r>
        <w:rPr>
          <w:spacing w:val="0"/>
          <w:w w:val="100"/>
          <w:position w:val="0"/>
          <w:shd w:val="clear" w:color="auto" w:fill="auto"/>
          <w:lang w:val="en-US" w:eastAsia="en-US" w:bidi="en-US"/>
        </w:rPr>
        <w:t>ā</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1</w:t>
      </w:r>
      <w:r>
        <w:rPr>
          <w:color w:val="73684C"/>
          <w:spacing w:val="0"/>
          <w:w w:val="100"/>
          <w:position w:val="0"/>
          <w:shd w:val="clear" w:color="auto" w:fill="auto"/>
          <w:lang w:val="en-US" w:eastAsia="en-US" w:bidi="en-US"/>
        </w:rPr>
        <w:t xml:space="preserve"> The last hymn (p. 351) is genuine, as the very fact of its being an acrostic shows (see Bickell, </w:t>
      </w:r>
      <w:r>
        <w:rPr>
          <w:i/>
          <w:iCs/>
          <w:color w:val="73684C"/>
          <w:spacing w:val="0"/>
          <w:w w:val="100"/>
          <w:position w:val="0"/>
          <w:shd w:val="clear" w:color="auto" w:fill="auto"/>
          <w:lang w:val="en-US" w:eastAsia="en-US" w:bidi="en-US"/>
        </w:rPr>
        <w:t>Conspectus,</w:t>
      </w:r>
      <w:r>
        <w:rPr>
          <w:color w:val="73684C"/>
          <w:spacing w:val="0"/>
          <w:w w:val="100"/>
          <w:position w:val="0"/>
          <w:shd w:val="clear" w:color="auto" w:fill="auto"/>
          <w:lang w:val="en-US" w:eastAsia="en-US" w:bidi="en-US"/>
        </w:rPr>
        <w:t xml:space="preserve"> p. 19) ; whereas the metrical homily on the bap</w:t>
        <w:softHyphen/>
        <w:t xml:space="preserve">tism of Constantine (pp. 355-361) is certainly spurious (Bickell, </w:t>
      </w:r>
      <w:r>
        <w:rPr>
          <w:i/>
          <w:iCs/>
          <w:color w:val="73684C"/>
          <w:spacing w:val="0"/>
          <w:w w:val="100"/>
          <w:position w:val="0"/>
          <w:shd w:val="clear" w:color="auto" w:fill="auto"/>
          <w:lang w:val="en-US" w:eastAsia="en-US" w:bidi="en-US"/>
        </w:rPr>
        <w:t>loc</w:t>
      </w:r>
      <w:r>
        <w:rPr>
          <w:color w:val="73684C"/>
          <w:spacing w:val="0"/>
          <w:w w:val="100"/>
          <w:position w:val="0"/>
          <w:shd w:val="clear" w:color="auto" w:fill="auto"/>
          <w:lang w:val="en-US" w:eastAsia="en-US" w:bidi="en-US"/>
        </w:rPr>
        <w:t xml:space="preserve">. </w:t>
      </w:r>
      <w:r>
        <w:rPr>
          <w:i/>
          <w:iCs/>
          <w:color w:val="73684C"/>
          <w:spacing w:val="0"/>
          <w:w w:val="100"/>
          <w:position w:val="0"/>
          <w:shd w:val="clear" w:color="auto" w:fill="auto"/>
          <w:lang w:val="en-US" w:eastAsia="en-US" w:bidi="en-US"/>
        </w:rPr>
        <w:t>cit.).</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2</w:t>
      </w:r>
      <w:r>
        <w:rPr>
          <w:color w:val="73684C"/>
          <w:spacing w:val="0"/>
          <w:w w:val="100"/>
          <w:position w:val="0"/>
          <w:shd w:val="clear" w:color="auto" w:fill="auto"/>
          <w:lang w:val="en-US" w:eastAsia="en-US" w:bidi="en-US"/>
        </w:rPr>
        <w:t xml:space="preserve"> S. </w:t>
      </w:r>
      <w:r>
        <w:rPr>
          <w:i/>
          <w:iCs/>
          <w:color w:val="73684C"/>
          <w:spacing w:val="0"/>
          <w:w w:val="100"/>
          <w:position w:val="0"/>
          <w:shd w:val="clear" w:color="auto" w:fill="auto"/>
          <w:lang w:val="en-US" w:eastAsia="en-US" w:bidi="en-US"/>
        </w:rPr>
        <w:t xml:space="preserve">P. Ephraemi </w:t>
      </w:r>
      <w:r>
        <w:rPr>
          <w:i/>
          <w:iCs/>
          <w:color w:val="73684C"/>
          <w:spacing w:val="0"/>
          <w:w w:val="100"/>
          <w:position w:val="0"/>
          <w:shd w:val="clear" w:color="auto" w:fill="auto"/>
          <w:lang w:val="la-001" w:eastAsia="la-001" w:bidi="la-001"/>
        </w:rPr>
        <w:t xml:space="preserve">Syri Sermones </w:t>
      </w:r>
      <w:r>
        <w:rPr>
          <w:i/>
          <w:iCs/>
          <w:color w:val="73684C"/>
          <w:spacing w:val="0"/>
          <w:w w:val="100"/>
          <w:position w:val="0"/>
          <w:shd w:val="clear" w:color="auto" w:fill="auto"/>
          <w:lang w:val="en-US" w:eastAsia="en-US" w:bidi="en-US"/>
        </w:rPr>
        <w:t>duo,</w:t>
      </w:r>
      <w:r>
        <w:rPr>
          <w:color w:val="73684C"/>
          <w:spacing w:val="0"/>
          <w:w w:val="100"/>
          <w:position w:val="0"/>
          <w:shd w:val="clear" w:color="auto" w:fill="auto"/>
          <w:lang w:val="en-US" w:eastAsia="en-US" w:bidi="en-US"/>
        </w:rPr>
        <w:t xml:space="preserve"> Brixen, 1869 (see </w:t>
      </w:r>
      <w:r>
        <w:rPr>
          <w:i/>
          <w:iCs/>
          <w:color w:val="73684C"/>
          <w:spacing w:val="0"/>
          <w:w w:val="100"/>
          <w:position w:val="0"/>
          <w:shd w:val="clear" w:color="auto" w:fill="auto"/>
          <w:lang w:val="en-US" w:eastAsia="en-US" w:bidi="en-US"/>
        </w:rPr>
        <w:t>Β.Ο.,</w:t>
      </w:r>
      <w:r>
        <w:rPr>
          <w:color w:val="73684C"/>
          <w:spacing w:val="0"/>
          <w:w w:val="100"/>
          <w:position w:val="0"/>
          <w:shd w:val="clear" w:color="auto" w:fill="auto"/>
          <w:lang w:val="en-US" w:eastAsia="en-US" w:bidi="en-US"/>
        </w:rPr>
        <w:t xml:space="preserve"> i. 149, col. 1, No. 31); </w:t>
      </w:r>
      <w:r>
        <w:rPr>
          <w:i/>
          <w:iCs/>
          <w:color w:val="73684C"/>
          <w:spacing w:val="0"/>
          <w:w w:val="100"/>
          <w:position w:val="0"/>
          <w:shd w:val="clear" w:color="auto" w:fill="auto"/>
          <w:lang w:val="la-001" w:eastAsia="la-001" w:bidi="la-001"/>
        </w:rPr>
        <w:t xml:space="preserve">Monumenta Syriaca </w:t>
      </w:r>
      <w:r>
        <w:rPr>
          <w:i/>
          <w:iCs/>
          <w:color w:val="73684C"/>
          <w:spacing w:val="0"/>
          <w:w w:val="100"/>
          <w:position w:val="0"/>
          <w:shd w:val="clear" w:color="auto" w:fill="auto"/>
          <w:lang w:val="en-US" w:eastAsia="en-US" w:bidi="en-US"/>
        </w:rPr>
        <w:t xml:space="preserve">ex Romanis Codd. </w:t>
      </w:r>
      <w:r>
        <w:rPr>
          <w:i/>
          <w:iCs/>
          <w:color w:val="73684C"/>
          <w:spacing w:val="0"/>
          <w:w w:val="100"/>
          <w:position w:val="0"/>
          <w:shd w:val="clear" w:color="auto" w:fill="auto"/>
          <w:lang w:val="fr-FR" w:eastAsia="fr-FR" w:bidi="fr-FR"/>
        </w:rPr>
        <w:t>collecta,</w:t>
      </w:r>
      <w:r>
        <w:rPr>
          <w:color w:val="73684C"/>
          <w:spacing w:val="0"/>
          <w:w w:val="100"/>
          <w:position w:val="0"/>
          <w:shd w:val="clear" w:color="auto" w:fill="auto"/>
          <w:lang w:val="fr-FR" w:eastAsia="fr-FR" w:bidi="fr-FR"/>
        </w:rPr>
        <w:t xml:space="preserve"> </w:t>
      </w:r>
      <w:r>
        <w:rPr>
          <w:color w:val="73684C"/>
          <w:spacing w:val="0"/>
          <w:w w:val="100"/>
          <w:position w:val="0"/>
          <w:shd w:val="clear" w:color="auto" w:fill="auto"/>
          <w:lang w:val="en-US" w:eastAsia="en-US" w:bidi="en-US"/>
        </w:rPr>
        <w:t xml:space="preserve">i. 4 </w:t>
      </w:r>
      <w:r>
        <w:rPr>
          <w:i/>
          <w:iCs/>
          <w:color w:val="73684C"/>
          <w:spacing w:val="0"/>
          <w:w w:val="100"/>
          <w:position w:val="0"/>
          <w:shd w:val="clear" w:color="auto" w:fill="auto"/>
          <w:lang w:val="en-US" w:eastAsia="en-US" w:bidi="en-US"/>
        </w:rPr>
        <w:t>(B.Ο., loc. cit.,</w:t>
      </w:r>
      <w:r>
        <w:rPr>
          <w:color w:val="73684C"/>
          <w:spacing w:val="0"/>
          <w:w w:val="100"/>
          <w:position w:val="0"/>
          <w:shd w:val="clear" w:color="auto" w:fill="auto"/>
          <w:lang w:val="en-US" w:eastAsia="en-US" w:bidi="en-US"/>
        </w:rPr>
        <w:t xml:space="preserve"> No. 30). Zingerle has rendered many of Ephraim’s works into German, </w:t>
      </w:r>
      <w:r>
        <w:rPr>
          <w:i/>
          <w:iCs/>
          <w:color w:val="73684C"/>
          <w:spacing w:val="0"/>
          <w:w w:val="100"/>
          <w:position w:val="0"/>
          <w:shd w:val="clear" w:color="auto" w:fill="auto"/>
          <w:lang w:val="en-US" w:eastAsia="en-US" w:bidi="en-US"/>
        </w:rPr>
        <w:t xml:space="preserve">e.g., Die </w:t>
      </w:r>
      <w:r>
        <w:rPr>
          <w:i/>
          <w:iCs/>
          <w:color w:val="73684C"/>
          <w:spacing w:val="0"/>
          <w:w w:val="100"/>
          <w:position w:val="0"/>
          <w:shd w:val="clear" w:color="auto" w:fill="auto"/>
          <w:lang w:val="de-DE" w:eastAsia="de-DE" w:bidi="de-DE"/>
        </w:rPr>
        <w:t xml:space="preserve">heilige </w:t>
      </w:r>
      <w:r>
        <w:rPr>
          <w:i/>
          <w:iCs/>
          <w:color w:val="73684C"/>
          <w:spacing w:val="0"/>
          <w:w w:val="100"/>
          <w:position w:val="0"/>
          <w:shd w:val="clear" w:color="auto" w:fill="auto"/>
          <w:lang w:val="en-US" w:eastAsia="en-US" w:bidi="en-US"/>
        </w:rPr>
        <w:t xml:space="preserve">Muse </w:t>
      </w:r>
      <w:r>
        <w:rPr>
          <w:i/>
          <w:iCs/>
          <w:color w:val="73684C"/>
          <w:spacing w:val="0"/>
          <w:w w:val="100"/>
          <w:position w:val="0"/>
          <w:shd w:val="clear" w:color="auto" w:fill="auto"/>
          <w:lang w:val="de-DE" w:eastAsia="de-DE" w:bidi="de-DE"/>
        </w:rPr>
        <w:t>der Syrer: Gesänge des h. Kirchenvaters Ephraem,</w:t>
      </w:r>
      <w:r>
        <w:rPr>
          <w:color w:val="73684C"/>
          <w:spacing w:val="0"/>
          <w:w w:val="100"/>
          <w:position w:val="0"/>
          <w:shd w:val="clear" w:color="auto" w:fill="auto"/>
          <w:lang w:val="de-DE" w:eastAsia="de-DE" w:bidi="de-DE"/>
        </w:rPr>
        <w:t xml:space="preserve"> 1S33 ; </w:t>
      </w:r>
      <w:r>
        <w:rPr>
          <w:i/>
          <w:iCs/>
          <w:color w:val="73684C"/>
          <w:spacing w:val="0"/>
          <w:w w:val="100"/>
          <w:position w:val="0"/>
          <w:shd w:val="clear" w:color="auto" w:fill="auto"/>
          <w:lang w:val="de-DE" w:eastAsia="de-DE" w:bidi="de-DE"/>
        </w:rPr>
        <w:t>Gesänge gegen die Grübler über die Geheimnisse Gottes,</w:t>
      </w:r>
      <w:r>
        <w:rPr>
          <w:color w:val="73684C"/>
          <w:spacing w:val="0"/>
          <w:w w:val="100"/>
          <w:position w:val="0"/>
          <w:shd w:val="clear" w:color="auto" w:fill="auto"/>
          <w:lang w:val="de-DE" w:eastAsia="de-DE" w:bidi="de-DE"/>
        </w:rPr>
        <w:t xml:space="preserve"> 1834 ; </w:t>
      </w:r>
      <w:r>
        <w:rPr>
          <w:i/>
          <w:iCs/>
          <w:color w:val="73684C"/>
          <w:spacing w:val="0"/>
          <w:w w:val="100"/>
          <w:position w:val="0"/>
          <w:shd w:val="clear" w:color="auto" w:fill="auto"/>
          <w:lang w:val="de-DE" w:eastAsia="de-DE" w:bidi="de-DE"/>
        </w:rPr>
        <w:t>Festkränze aus Libanons Gärten,</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 xml:space="preserve">1846 </w:t>
      </w:r>
      <w:r>
        <w:rPr>
          <w:color w:val="73684C"/>
          <w:spacing w:val="0"/>
          <w:w w:val="100"/>
          <w:position w:val="0"/>
          <w:shd w:val="clear" w:color="auto" w:fill="auto"/>
          <w:lang w:val="de-DE" w:eastAsia="de-DE" w:bidi="de-DE"/>
        </w:rPr>
        <w:t xml:space="preserve">; </w:t>
      </w:r>
      <w:r>
        <w:rPr>
          <w:i/>
          <w:iCs/>
          <w:color w:val="73684C"/>
          <w:spacing w:val="0"/>
          <w:w w:val="100"/>
          <w:position w:val="0"/>
          <w:shd w:val="clear" w:color="auto" w:fill="auto"/>
          <w:lang w:val="de-DE" w:eastAsia="de-DE" w:bidi="de-DE"/>
        </w:rPr>
        <w:t>Des h. Kirchenvaters Ephraem ausgeu'ählte Schriften, aus d. Griechischen und Syrischen uebersetzt,</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 xml:space="preserve">6 </w:t>
      </w:r>
      <w:r>
        <w:rPr>
          <w:color w:val="73684C"/>
          <w:spacing w:val="0"/>
          <w:w w:val="100"/>
          <w:position w:val="0"/>
          <w:shd w:val="clear" w:color="auto" w:fill="auto"/>
          <w:lang w:val="fr-FR" w:eastAsia="fr-FR" w:bidi="fr-FR"/>
        </w:rPr>
        <w:t xml:space="preserve">vols., </w:t>
      </w:r>
      <w:r>
        <w:rPr>
          <w:color w:val="73684C"/>
          <w:spacing w:val="0"/>
          <w:w w:val="100"/>
          <w:position w:val="0"/>
          <w:shd w:val="clear" w:color="auto" w:fill="auto"/>
          <w:lang w:val="en-US" w:eastAsia="en-US" w:bidi="en-US"/>
        </w:rPr>
        <w:t>2d ed., 1845-47;</w:t>
      </w:r>
      <w:r>
        <w:rPr>
          <w:i/>
          <w:iCs/>
          <w:color w:val="73684C"/>
          <w:spacing w:val="0"/>
          <w:w w:val="100"/>
          <w:position w:val="0"/>
          <w:shd w:val="clear" w:color="auto" w:fill="auto"/>
          <w:lang w:val="en-US" w:eastAsia="en-US" w:bidi="en-US"/>
        </w:rPr>
        <w:t xml:space="preserve"> Die </w:t>
      </w:r>
      <w:r>
        <w:rPr>
          <w:i/>
          <w:iCs/>
          <w:color w:val="73684C"/>
          <w:spacing w:val="0"/>
          <w:w w:val="100"/>
          <w:position w:val="0"/>
          <w:shd w:val="clear" w:color="auto" w:fill="auto"/>
          <w:lang w:val="de-DE" w:eastAsia="de-DE" w:bidi="de-DE"/>
        </w:rPr>
        <w:t>Reden des h. Ephraem gegen die Ketzer,</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 xml:space="preserve">1850 </w:t>
      </w:r>
      <w:r>
        <w:rPr>
          <w:color w:val="73684C"/>
          <w:spacing w:val="0"/>
          <w:w w:val="100"/>
          <w:position w:val="0"/>
          <w:shd w:val="clear" w:color="auto" w:fill="auto"/>
          <w:lang w:val="de-DE" w:eastAsia="de-DE" w:bidi="de-DE"/>
        </w:rPr>
        <w:t xml:space="preserve">; </w:t>
      </w:r>
      <w:r>
        <w:rPr>
          <w:i/>
          <w:iCs/>
          <w:color w:val="73684C"/>
          <w:spacing w:val="0"/>
          <w:w w:val="100"/>
          <w:position w:val="0"/>
          <w:shd w:val="clear" w:color="auto" w:fill="auto"/>
          <w:lang w:val="de-DE" w:eastAsia="de-DE" w:bidi="de-DE"/>
        </w:rPr>
        <w:t>Reden des h. Ephraem des Syrers über Selbstverläugnung und einsame Lebensweise, mit einem Briefe desselben an Einsiedler,</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 xml:space="preserve">1871. Translations into English have been attempted, though with less success, by Morris </w:t>
      </w:r>
      <w:r>
        <w:rPr>
          <w:i/>
          <w:iCs/>
          <w:color w:val="73684C"/>
          <w:spacing w:val="0"/>
          <w:w w:val="100"/>
          <w:position w:val="0"/>
          <w:shd w:val="clear" w:color="auto" w:fill="auto"/>
          <w:lang w:val="en-US" w:eastAsia="en-US" w:bidi="en-US"/>
        </w:rPr>
        <w:t xml:space="preserve">(Select Works of S. </w:t>
      </w:r>
      <w:r>
        <w:rPr>
          <w:i/>
          <w:iCs/>
          <w:color w:val="73684C"/>
          <w:spacing w:val="0"/>
          <w:w w:val="100"/>
          <w:position w:val="0"/>
          <w:shd w:val="clear" w:color="auto" w:fill="auto"/>
          <w:lang w:val="de-DE" w:eastAsia="de-DE" w:bidi="de-DE"/>
        </w:rPr>
        <w:t xml:space="preserve">Ephraem </w:t>
      </w:r>
      <w:r>
        <w:rPr>
          <w:i/>
          <w:iCs/>
          <w:color w:val="73684C"/>
          <w:spacing w:val="0"/>
          <w:w w:val="100"/>
          <w:position w:val="0"/>
          <w:shd w:val="clear" w:color="auto" w:fill="auto"/>
          <w:lang w:val="en-US" w:eastAsia="en-US" w:bidi="en-US"/>
        </w:rPr>
        <w:t>the Syrian,</w:t>
      </w:r>
      <w:r>
        <w:rPr>
          <w:color w:val="73684C"/>
          <w:spacing w:val="0"/>
          <w:w w:val="100"/>
          <w:position w:val="0"/>
          <w:shd w:val="clear" w:color="auto" w:fill="auto"/>
          <w:lang w:val="en-US" w:eastAsia="en-US" w:bidi="en-US"/>
        </w:rPr>
        <w:t xml:space="preserve"> 1847) and Burgess </w:t>
      </w:r>
      <w:r>
        <w:rPr>
          <w:i/>
          <w:iCs/>
          <w:color w:val="73684C"/>
          <w:spacing w:val="0"/>
          <w:w w:val="100"/>
          <w:position w:val="0"/>
          <w:shd w:val="clear" w:color="auto" w:fill="auto"/>
          <w:lang w:val="en-US" w:eastAsia="en-US" w:bidi="en-US"/>
        </w:rPr>
        <w:t xml:space="preserve">(Select Metrical Hymns and Homilies of Ephraem </w:t>
      </w:r>
      <w:r>
        <w:rPr>
          <w:i/>
          <w:iCs/>
          <w:color w:val="73684C"/>
          <w:spacing w:val="0"/>
          <w:w w:val="100"/>
          <w:position w:val="0"/>
          <w:shd w:val="clear" w:color="auto" w:fill="auto"/>
          <w:lang w:val="la-001" w:eastAsia="la-001" w:bidi="la-001"/>
        </w:rPr>
        <w:t>Syrus,</w:t>
      </w:r>
      <w:r>
        <w:rPr>
          <w:color w:val="73684C"/>
          <w:spacing w:val="0"/>
          <w:w w:val="100"/>
          <w:position w:val="0"/>
          <w:shd w:val="clear" w:color="auto" w:fill="auto"/>
          <w:lang w:val="la-001" w:eastAsia="la-001" w:bidi="la-001"/>
        </w:rPr>
        <w:t xml:space="preserve"> </w:t>
      </w:r>
      <w:r>
        <w:rPr>
          <w:color w:val="73684C"/>
          <w:spacing w:val="0"/>
          <w:w w:val="100"/>
          <w:position w:val="0"/>
          <w:shd w:val="clear" w:color="auto" w:fill="auto"/>
          <w:lang w:val="en-US" w:eastAsia="en-US" w:bidi="en-US"/>
        </w:rPr>
        <w:t xml:space="preserve">1853 ; </w:t>
      </w:r>
      <w:r>
        <w:rPr>
          <w:i/>
          <w:iCs/>
          <w:color w:val="73684C"/>
          <w:spacing w:val="0"/>
          <w:w w:val="100"/>
          <w:position w:val="0"/>
          <w:shd w:val="clear" w:color="auto" w:fill="auto"/>
          <w:lang w:val="en-US" w:eastAsia="en-US" w:bidi="en-US"/>
        </w:rPr>
        <w:t>The Repentance of Nineveh, hιc.,</w:t>
      </w:r>
      <w:r>
        <w:rPr>
          <w:color w:val="73684C"/>
          <w:spacing w:val="0"/>
          <w:w w:val="100"/>
          <w:position w:val="0"/>
          <w:shd w:val="clear" w:color="auto" w:fill="auto"/>
          <w:lang w:val="en-US" w:eastAsia="en-US" w:bidi="en-US"/>
        </w:rPr>
        <w:t xml:space="preserve"> 1853).</w:t>
      </w:r>
    </w:p>
    <w:p>
      <w:pPr>
        <w:pStyle w:val="Style7"/>
        <w:keepNext w:val="0"/>
        <w:keepLines w:val="0"/>
        <w:widowControl w:val="0"/>
        <w:shd w:val="clear" w:color="auto" w:fill="auto"/>
        <w:tabs>
          <w:tab w:pos="3132" w:val="left"/>
        </w:tabs>
        <w:bidi w:val="0"/>
        <w:spacing w:line="192" w:lineRule="auto"/>
        <w:ind w:left="0" w:firstLine="360"/>
        <w:jc w:val="left"/>
      </w:pPr>
      <w:r>
        <w:rPr>
          <w:spacing w:val="0"/>
          <w:w w:val="100"/>
          <w:position w:val="0"/>
          <w:shd w:val="clear" w:color="auto" w:fill="auto"/>
          <w:lang w:val="en-US" w:eastAsia="en-US" w:bidi="en-US"/>
        </w:rPr>
        <w:t>@@@</w:t>
      </w:r>
      <w:r>
        <w:rPr>
          <w:color w:val="73684C"/>
          <w:spacing w:val="0"/>
          <w:w w:val="100"/>
          <w:position w:val="0"/>
          <w:shd w:val="clear" w:color="auto" w:fill="auto"/>
          <w:lang w:val="en-US" w:eastAsia="en-US" w:bidi="en-US"/>
        </w:rPr>
        <w:t xml:space="preserve">3 Comp. Bickell, </w:t>
      </w:r>
      <w:r>
        <w:rPr>
          <w:i/>
          <w:iCs/>
          <w:color w:val="73684C"/>
          <w:spacing w:val="0"/>
          <w:w w:val="100"/>
          <w:position w:val="0"/>
          <w:shd w:val="clear" w:color="auto" w:fill="auto"/>
          <w:lang w:val="en-US" w:eastAsia="en-US" w:bidi="en-US"/>
        </w:rPr>
        <w:t>Conspectus,</w:t>
      </w:r>
      <w:r>
        <w:rPr>
          <w:color w:val="73684C"/>
          <w:spacing w:val="0"/>
          <w:w w:val="100"/>
          <w:position w:val="0"/>
          <w:shd w:val="clear" w:color="auto" w:fill="auto"/>
          <w:lang w:val="en-US" w:eastAsia="en-US" w:bidi="en-US"/>
        </w:rPr>
        <w:t xml:space="preserve"> p. 28, note 21.</w:t>
        <w:tab/>
      </w:r>
    </w:p>
    <w:p>
      <w:pPr>
        <w:pStyle w:val="Style7"/>
        <w:keepNext w:val="0"/>
        <w:keepLines w:val="0"/>
        <w:widowControl w:val="0"/>
        <w:shd w:val="clear" w:color="auto" w:fill="auto"/>
        <w:tabs>
          <w:tab w:pos="3132" w:val="left"/>
        </w:tabs>
        <w:bidi w:val="0"/>
        <w:spacing w:line="192" w:lineRule="auto"/>
        <w:ind w:left="0" w:firstLine="360"/>
        <w:jc w:val="left"/>
      </w:pPr>
      <w:r>
        <w:rPr>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4</w:t>
      </w:r>
      <w:r>
        <w:rPr>
          <w:color w:val="73684C"/>
          <w:spacing w:val="0"/>
          <w:w w:val="100"/>
          <w:position w:val="0"/>
          <w:shd w:val="clear" w:color="auto" w:fill="auto"/>
          <w:lang w:val="en-US" w:eastAsia="en-US" w:bidi="en-US"/>
        </w:rPr>
        <w:t xml:space="preserve"> See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 141, No. 8.</w:t>
      </w:r>
    </w:p>
    <w:p>
      <w:pPr>
        <w:pStyle w:val="Style7"/>
        <w:keepNext w:val="0"/>
        <w:keepLines w:val="0"/>
        <w:widowControl w:val="0"/>
        <w:shd w:val="clear" w:color="auto" w:fill="auto"/>
        <w:tabs>
          <w:tab w:pos="1386" w:val="left"/>
          <w:tab w:pos="3262" w:val="left"/>
        </w:tabs>
        <w:bidi w:val="0"/>
        <w:spacing w:line="192" w:lineRule="auto"/>
        <w:ind w:left="0" w:firstLine="360"/>
        <w:jc w:val="left"/>
      </w:pPr>
      <w:r>
        <w:rPr>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6</w:t>
      </w:r>
      <w:r>
        <w:rPr>
          <w:color w:val="73684C"/>
          <w:spacing w:val="0"/>
          <w:w w:val="100"/>
          <w:position w:val="0"/>
          <w:shd w:val="clear" w:color="auto" w:fill="auto"/>
          <w:lang w:val="en-US" w:eastAsia="en-US" w:bidi="en-US"/>
        </w:rPr>
        <w:t xml:space="preserve"> That it has been interpolated by a later hand is shown by the long and purposeless digression on Moses and Pharaoh </w:t>
      </w:r>
      <w:r>
        <w:rPr>
          <w:i/>
          <w:iCs/>
          <w:color w:val="73684C"/>
          <w:spacing w:val="0"/>
          <w:w w:val="100"/>
          <w:position w:val="0"/>
          <w:shd w:val="clear" w:color="auto" w:fill="auto"/>
          <w:lang w:val="en-US" w:eastAsia="en-US" w:bidi="en-US"/>
        </w:rPr>
        <w:t>(op. Gr.,</w:t>
      </w:r>
      <w:r>
        <w:rPr>
          <w:color w:val="73684C"/>
          <w:spacing w:val="0"/>
          <w:w w:val="100"/>
          <w:position w:val="0"/>
          <w:shd w:val="clear" w:color="auto" w:fill="auto"/>
          <w:lang w:val="en-US" w:eastAsia="en-US" w:bidi="en-US"/>
        </w:rPr>
        <w:t xml:space="preserve"> ii. 405) and the story of Lamprotate at the end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p. 409), as also by the stanzas regarding the vine which Ephraim saw growing out of his mouth when he was an infant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p. 408).</w:t>
        <w:tab/>
      </w:r>
    </w:p>
    <w:p>
      <w:pPr>
        <w:pStyle w:val="Style7"/>
        <w:keepNext w:val="0"/>
        <w:keepLines w:val="0"/>
        <w:widowControl w:val="0"/>
        <w:shd w:val="clear" w:color="auto" w:fill="auto"/>
        <w:tabs>
          <w:tab w:pos="1566" w:val="left"/>
          <w:tab w:pos="3442" w:val="left"/>
        </w:tabs>
        <w:bidi w:val="0"/>
        <w:spacing w:line="192" w:lineRule="auto"/>
        <w:ind w:left="0" w:firstLine="360"/>
        <w:jc w:val="left"/>
      </w:pPr>
      <w:r>
        <w:rPr>
          <w:spacing w:val="0"/>
          <w:w w:val="100"/>
          <w:position w:val="0"/>
          <w:shd w:val="clear" w:color="auto" w:fill="auto"/>
          <w:lang w:val="en-US" w:eastAsia="en-US" w:bidi="en-US"/>
        </w:rPr>
        <w:t>@@@</w:t>
      </w:r>
      <w:r>
        <w:rPr>
          <w:color w:val="73684C"/>
          <w:spacing w:val="0"/>
          <w:w w:val="100"/>
          <w:position w:val="0"/>
          <w:shd w:val="clear" w:color="auto" w:fill="auto"/>
          <w:lang w:val="en-US" w:eastAsia="en-US" w:bidi="en-US"/>
        </w:rPr>
        <w:t xml:space="preserve">6 </w:t>
      </w:r>
      <w:r>
        <w:rPr>
          <w:i/>
          <w:iCs/>
          <w:color w:val="73684C"/>
          <w:spacing w:val="0"/>
          <w:w w:val="100"/>
          <w:position w:val="0"/>
          <w:shd w:val="clear" w:color="auto" w:fill="auto"/>
          <w:lang w:val="en-US" w:eastAsia="en-US" w:bidi="en-US"/>
        </w:rPr>
        <w:t>B.Ο.,</w:t>
      </w:r>
      <w:r>
        <w:rPr>
          <w:color w:val="73684C"/>
          <w:spacing w:val="0"/>
          <w:w w:val="100"/>
          <w:position w:val="0"/>
          <w:shd w:val="clear" w:color="auto" w:fill="auto"/>
          <w:lang w:val="en-US" w:eastAsia="en-US" w:bidi="en-US"/>
        </w:rPr>
        <w:t xml:space="preserve"> i. 38,144.</w:t>
        <w:tab/>
      </w:r>
    </w:p>
    <w:p>
      <w:pPr>
        <w:pStyle w:val="Style7"/>
        <w:keepNext w:val="0"/>
        <w:keepLines w:val="0"/>
        <w:widowControl w:val="0"/>
        <w:shd w:val="clear" w:color="auto" w:fill="auto"/>
        <w:tabs>
          <w:tab w:pos="1566" w:val="left"/>
          <w:tab w:pos="3442" w:val="left"/>
        </w:tabs>
        <w:bidi w:val="0"/>
        <w:spacing w:line="192" w:lineRule="auto"/>
        <w:ind w:left="0" w:firstLine="360"/>
        <w:jc w:val="left"/>
      </w:pPr>
      <w:r>
        <w:rPr>
          <w:spacing w:val="0"/>
          <w:w w:val="100"/>
          <w:position w:val="0"/>
          <w:shd w:val="clear" w:color="auto" w:fill="auto"/>
          <w:lang w:val="en-US" w:eastAsia="en-US" w:bidi="en-US"/>
        </w:rPr>
        <w:t>@@@</w:t>
      </w:r>
      <w:r>
        <w:rPr>
          <w:color w:val="73684C"/>
          <w:spacing w:val="0"/>
          <w:w w:val="100"/>
          <w:position w:val="0"/>
          <w:shd w:val="clear" w:color="auto" w:fill="auto"/>
          <w:lang w:val="en-US" w:eastAsia="en-US" w:bidi="en-US"/>
        </w:rPr>
        <w:t xml:space="preserve">7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i. 165.</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color w:val="73684C"/>
          <w:spacing w:val="0"/>
          <w:w w:val="100"/>
          <w:position w:val="0"/>
          <w:shd w:val="clear" w:color="auto" w:fill="auto"/>
          <w:lang w:val="en-US" w:eastAsia="en-US" w:bidi="en-US"/>
        </w:rPr>
        <w:t xml:space="preserve">8 See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992, col. 2, No. 36.</w:t>
      </w:r>
    </w:p>
    <w:p>
      <w:pPr>
        <w:pStyle w:val="Style7"/>
        <w:keepNext w:val="0"/>
        <w:keepLines w:val="0"/>
        <w:widowControl w:val="0"/>
        <w:shd w:val="clear" w:color="auto" w:fill="auto"/>
        <w:tabs>
          <w:tab w:pos="1588" w:val="left"/>
        </w:tabs>
        <w:bidi w:val="0"/>
        <w:spacing w:line="192" w:lineRule="auto"/>
        <w:ind w:left="0" w:firstLine="360"/>
        <w:jc w:val="left"/>
      </w:pPr>
      <w:r>
        <w:rPr>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9</w:t>
      </w:r>
      <w:r>
        <w:rPr>
          <w:color w:val="73684C"/>
          <w:spacing w:val="0"/>
          <w:w w:val="100"/>
          <w:position w:val="0"/>
          <w:shd w:val="clear" w:color="auto" w:fill="auto"/>
          <w:lang w:val="en-US" w:eastAsia="en-US" w:bidi="en-US"/>
        </w:rPr>
        <w:t xml:space="preserve"> Also written =Ārnūṭ and </w:t>
      </w:r>
      <w:r>
        <w:rPr>
          <w:color w:val="73684C"/>
          <w:spacing w:val="0"/>
          <w:w w:val="100"/>
          <w:position w:val="0"/>
          <w:sz w:val="18"/>
          <w:szCs w:val="18"/>
          <w:shd w:val="clear" w:color="auto" w:fill="auto"/>
          <w:lang w:val="en-US" w:eastAsia="en-US" w:bidi="en-US"/>
        </w:rPr>
        <w:t xml:space="preserve">= </w:t>
      </w:r>
      <w:r>
        <w:rPr>
          <w:color w:val="73684C"/>
          <w:spacing w:val="0"/>
          <w:w w:val="100"/>
          <w:position w:val="0"/>
          <w:shd w:val="clear" w:color="auto" w:fill="auto"/>
          <w:lang w:val="en-US" w:eastAsia="en-US" w:bidi="en-US"/>
        </w:rPr>
        <w:t>Ūriṭ . See Overbeck’s text,</w:t>
      </w:r>
    </w:p>
    <w:p>
      <w:pPr>
        <w:pStyle w:val="Style7"/>
        <w:keepNext w:val="0"/>
        <w:keepLines w:val="0"/>
        <w:widowControl w:val="0"/>
        <w:shd w:val="clear" w:color="auto" w:fill="auto"/>
        <w:bidi w:val="0"/>
        <w:spacing w:line="192" w:lineRule="auto"/>
        <w:ind w:left="0" w:firstLine="0"/>
        <w:jc w:val="left"/>
      </w:pPr>
      <w:r>
        <w:rPr>
          <w:color w:val="73684C"/>
          <w:spacing w:val="0"/>
          <w:w w:val="100"/>
          <w:position w:val="0"/>
          <w:shd w:val="clear" w:color="auto" w:fill="auto"/>
          <w:lang w:val="en-US" w:eastAsia="en-US" w:bidi="en-US"/>
        </w:rPr>
        <w:t>p. 147, and the variants, p. xxx. The name seems to have been hopelessly corrupted by the scribes.</w:t>
      </w:r>
    </w:p>
    <w:p>
      <w:pPr>
        <w:pStyle w:val="Style7"/>
        <w:keepNext w:val="0"/>
        <w:keepLines w:val="0"/>
        <w:widowControl w:val="0"/>
        <w:shd w:val="clear" w:color="auto" w:fill="auto"/>
        <w:bidi w:val="0"/>
        <w:spacing w:line="192" w:lineRule="auto"/>
        <w:ind w:left="0" w:firstLine="0"/>
        <w:jc w:val="left"/>
      </w:pPr>
      <w:r>
        <w:rPr>
          <w:spacing w:val="0"/>
          <w:w w:val="100"/>
          <w:position w:val="0"/>
          <w:shd w:val="clear" w:color="auto" w:fill="auto"/>
          <w:lang w:val="en-US" w:eastAsia="en-US" w:bidi="en-US"/>
        </w:rPr>
        <w:t>@@@</w:t>
      </w:r>
      <w:r>
        <w:rPr>
          <w:color w:val="73684C"/>
          <w:spacing w:val="0"/>
          <w:w w:val="100"/>
          <w:position w:val="0"/>
          <w:shd w:val="clear" w:color="auto" w:fill="auto"/>
          <w:lang w:val="en-US" w:eastAsia="en-US" w:bidi="en-US"/>
        </w:rPr>
        <w:t xml:space="preserve">ιθ See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pp. 831, col. 1, and 1002, col. 1.</w:t>
      </w:r>
    </w:p>
    <w:p>
      <w:pPr>
        <w:pStyle w:val="Style7"/>
        <w:keepNext w:val="0"/>
        <w:keepLines w:val="0"/>
        <w:widowControl w:val="0"/>
        <w:shd w:val="clear" w:color="auto" w:fill="auto"/>
        <w:tabs>
          <w:tab w:pos="2624" w:val="left"/>
        </w:tabs>
        <w:bidi w:val="0"/>
        <w:spacing w:line="192" w:lineRule="auto"/>
        <w:ind w:left="0" w:firstLine="360"/>
        <w:jc w:val="left"/>
      </w:pPr>
      <w:r>
        <w:rPr>
          <w:spacing w:val="0"/>
          <w:w w:val="100"/>
          <w:position w:val="0"/>
          <w:shd w:val="clear" w:color="auto" w:fill="auto"/>
          <w:lang w:val="en-US" w:eastAsia="en-US" w:bidi="en-US"/>
        </w:rPr>
        <w:t>@@@</w:t>
      </w:r>
      <w:r>
        <w:rPr>
          <w:i/>
          <w:iCs/>
          <w:color w:val="73684C"/>
          <w:spacing w:val="0"/>
          <w:w w:val="100"/>
          <w:position w:val="0"/>
          <w:shd w:val="clear" w:color="auto" w:fill="auto"/>
          <w:lang w:val="en-US" w:eastAsia="en-US" w:bidi="en-US"/>
        </w:rPr>
        <w:t>∏ B.O.,</w:t>
      </w:r>
      <w:r>
        <w:rPr>
          <w:color w:val="73684C"/>
          <w:spacing w:val="0"/>
          <w:w w:val="100"/>
          <w:position w:val="0"/>
          <w:shd w:val="clear" w:color="auto" w:fill="auto"/>
          <w:lang w:val="en-US" w:eastAsia="en-US" w:bidi="en-US"/>
        </w:rPr>
        <w:t xml:space="preserve"> iii. 1,170.</w:t>
        <w:tab/>
      </w:r>
    </w:p>
    <w:p>
      <w:pPr>
        <w:pStyle w:val="Style7"/>
        <w:keepNext w:val="0"/>
        <w:keepLines w:val="0"/>
        <w:widowControl w:val="0"/>
        <w:shd w:val="clear" w:color="auto" w:fill="auto"/>
        <w:tabs>
          <w:tab w:pos="2624" w:val="left"/>
        </w:tabs>
        <w:bidi w:val="0"/>
        <w:spacing w:line="192" w:lineRule="auto"/>
        <w:ind w:left="0" w:firstLine="360"/>
        <w:jc w:val="left"/>
      </w:pPr>
      <w:r>
        <w:rPr>
          <w:spacing w:val="0"/>
          <w:w w:val="100"/>
          <w:position w:val="0"/>
          <w:shd w:val="clear" w:color="auto" w:fill="auto"/>
          <w:lang w:val="en-US" w:eastAsia="en-US" w:bidi="en-US"/>
        </w:rPr>
        <w:t>@@@</w:t>
      </w:r>
      <w:r>
        <w:rPr>
          <w:color w:val="73684C"/>
          <w:spacing w:val="0"/>
          <w:w w:val="100"/>
          <w:position w:val="0"/>
          <w:shd w:val="clear" w:color="auto" w:fill="auto"/>
          <w:lang w:val="en-US" w:eastAsia="en-US" w:bidi="en-US"/>
        </w:rPr>
        <w:t xml:space="preserve">12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i. 168 ; iii. 1, 43.</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13</w:t>
      </w:r>
      <w:r>
        <w:rPr>
          <w:color w:val="73684C"/>
          <w:spacing w:val="0"/>
          <w:w w:val="100"/>
          <w:position w:val="0"/>
          <w:shd w:val="clear" w:color="auto" w:fill="auto"/>
          <w:lang w:val="en-US" w:eastAsia="en-US" w:bidi="en-US"/>
        </w:rPr>
        <w:t xml:space="preserve"> In a passage cited by Assemani,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 166. </w:t>
      </w:r>
      <w:r>
        <w:rPr>
          <w:color w:val="73684C"/>
          <w:spacing w:val="0"/>
          <w:w w:val="100"/>
          <w:position w:val="0"/>
          <w:shd w:val="clear" w:color="auto" w:fill="auto"/>
          <w:lang w:val="fr-FR" w:eastAsia="fr-FR" w:bidi="fr-FR"/>
        </w:rPr>
        <w:t>Card</w:t>
      </w:r>
      <w:r>
        <w:rPr>
          <w:color w:val="73684C"/>
          <w:spacing w:val="0"/>
          <w:w w:val="100"/>
          <w:position w:val="0"/>
          <w:shd w:val="clear" w:color="auto" w:fill="auto"/>
          <w:lang w:val="en-US" w:eastAsia="en-US" w:bidi="en-US"/>
        </w:rPr>
        <w:t>āḥī</w:t>
      </w:r>
      <w:r>
        <w:rPr>
          <w:color w:val="73684C"/>
          <w:spacing w:val="0"/>
          <w:w w:val="100"/>
          <w:position w:val="0"/>
          <w:shd w:val="clear" w:color="auto" w:fill="auto"/>
          <w:lang w:val="fr-FR" w:eastAsia="fr-FR" w:bidi="fr-FR"/>
        </w:rPr>
        <w:t xml:space="preserve"> </w:t>
      </w:r>
      <w:r>
        <w:rPr>
          <w:i/>
          <w:iCs/>
          <w:color w:val="73684C"/>
          <w:spacing w:val="0"/>
          <w:w w:val="100"/>
          <w:position w:val="0"/>
          <w:shd w:val="clear" w:color="auto" w:fill="auto"/>
          <w:lang w:val="en-US" w:eastAsia="en-US" w:bidi="en-US"/>
        </w:rPr>
        <w:t>(Liber Thes.,</w:t>
      </w:r>
      <w:r>
        <w:rPr>
          <w:color w:val="73684C"/>
          <w:spacing w:val="0"/>
          <w:w w:val="100"/>
          <w:position w:val="0"/>
          <w:shd w:val="clear" w:color="auto" w:fill="auto"/>
          <w:lang w:val="en-US" w:eastAsia="en-US" w:bidi="en-US"/>
        </w:rPr>
        <w:t xml:space="preserve"> pp. 25-27) places Balai’s death in 460, but gives, as usual, no authority. This seems too late.</w:t>
      </w:r>
    </w:p>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t>
      </w:r>
      <w:r>
        <w:rPr>
          <w:rFonts w:ascii="Arial" w:eastAsia="Arial" w:hAnsi="Arial" w:cs="Arial"/>
          <w:color w:val="73684C"/>
          <w:spacing w:val="0"/>
          <w:w w:val="100"/>
          <w:position w:val="0"/>
          <w:sz w:val="8"/>
          <w:szCs w:val="8"/>
          <w:shd w:val="clear" w:color="auto" w:fill="auto"/>
          <w:lang w:val="en-US" w:eastAsia="en-US" w:bidi="en-US"/>
        </w:rPr>
        <w:t xml:space="preserve">14 </w:t>
      </w:r>
      <w:r>
        <w:rPr>
          <w:i/>
          <w:iCs/>
          <w:color w:val="73684C"/>
          <w:spacing w:val="0"/>
          <w:w w:val="100"/>
          <w:position w:val="0"/>
          <w:shd w:val="clear" w:color="auto" w:fill="auto"/>
          <w:lang w:val="en-US" w:eastAsia="en-US" w:bidi="en-US"/>
        </w:rPr>
        <w:t>Conspectus,</w:t>
      </w:r>
      <w:r>
        <w:rPr>
          <w:color w:val="73684C"/>
          <w:spacing w:val="0"/>
          <w:w w:val="100"/>
          <w:position w:val="0"/>
          <w:shd w:val="clear" w:color="auto" w:fill="auto"/>
          <w:lang w:val="en-US" w:eastAsia="en-US" w:bidi="en-US"/>
        </w:rPr>
        <w:t xml:space="preserve"> p. 21 ; </w:t>
      </w:r>
      <w:r>
        <w:rPr>
          <w:color w:val="73684C"/>
          <w:spacing w:val="0"/>
          <w:w w:val="100"/>
          <w:position w:val="0"/>
          <w:shd w:val="clear" w:color="auto" w:fill="auto"/>
          <w:lang w:val="de-DE" w:eastAsia="de-DE" w:bidi="de-DE"/>
        </w:rPr>
        <w:t xml:space="preserve">Thalhofer, </w:t>
      </w:r>
      <w:r>
        <w:rPr>
          <w:i/>
          <w:iCs/>
          <w:color w:val="73684C"/>
          <w:spacing w:val="0"/>
          <w:w w:val="100"/>
          <w:position w:val="0"/>
          <w:shd w:val="clear" w:color="auto" w:fill="auto"/>
          <w:lang w:val="de-DE" w:eastAsia="de-DE" w:bidi="de-DE"/>
        </w:rPr>
        <w:t>Bibliothek der Kirchenväter,</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 xml:space="preserve">41, </w:t>
      </w:r>
      <w:r>
        <w:rPr>
          <w:color w:val="73684C"/>
          <w:spacing w:val="0"/>
          <w:w w:val="100"/>
          <w:position w:val="0"/>
          <w:shd w:val="clear" w:color="auto" w:fill="auto"/>
          <w:lang w:val="fr-FR" w:eastAsia="fr-FR" w:bidi="fr-FR"/>
        </w:rPr>
        <w:t xml:space="preserve">p. </w:t>
      </w:r>
      <w:r>
        <w:rPr>
          <w:color w:val="73684C"/>
          <w:spacing w:val="0"/>
          <w:w w:val="100"/>
          <w:position w:val="0"/>
          <w:shd w:val="clear" w:color="auto" w:fill="auto"/>
          <w:lang w:val="en-US" w:eastAsia="en-US" w:bidi="en-US"/>
        </w:rPr>
        <w:t>68.</w:t>
      </w:r>
    </w:p>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t>
      </w:r>
      <w:r>
        <w:rPr>
          <w:color w:val="73684C"/>
          <w:spacing w:val="0"/>
          <w:w w:val="100"/>
          <w:position w:val="0"/>
          <w:shd w:val="clear" w:color="auto" w:fill="auto"/>
          <w:lang w:val="en-US" w:eastAsia="en-US" w:bidi="en-US"/>
        </w:rPr>
        <w:t xml:space="preserve">is </w:t>
      </w:r>
      <w:r>
        <w:rPr>
          <w:color w:val="73684C"/>
          <w:spacing w:val="0"/>
          <w:w w:val="100"/>
          <w:position w:val="0"/>
          <w:shd w:val="clear" w:color="auto" w:fill="auto"/>
          <w:lang w:val="de-DE" w:eastAsia="de-DE" w:bidi="de-DE"/>
        </w:rPr>
        <w:t xml:space="preserve">Overbeck, </w:t>
      </w:r>
      <w:r>
        <w:rPr>
          <w:i/>
          <w:iCs/>
          <w:color w:val="73684C"/>
          <w:spacing w:val="0"/>
          <w:w w:val="100"/>
          <w:position w:val="0"/>
          <w:shd w:val="clear" w:color="auto" w:fill="auto"/>
          <w:lang w:val="de-DE" w:eastAsia="de-DE" w:bidi="de-DE"/>
        </w:rPr>
        <w:t xml:space="preserve">S. Ephraemi </w:t>
      </w:r>
      <w:r>
        <w:rPr>
          <w:i/>
          <w:iCs/>
          <w:color w:val="73684C"/>
          <w:spacing w:val="0"/>
          <w:w w:val="100"/>
          <w:position w:val="0"/>
          <w:shd w:val="clear" w:color="auto" w:fill="auto"/>
          <w:lang w:val="la-001" w:eastAsia="la-001" w:bidi="la-001"/>
        </w:rPr>
        <w:t xml:space="preserve">Syri, </w:t>
      </w:r>
      <w:r>
        <w:rPr>
          <w:i/>
          <w:iCs/>
          <w:color w:val="73684C"/>
          <w:spacing w:val="0"/>
          <w:w w:val="100"/>
          <w:position w:val="0"/>
          <w:shd w:val="clear" w:color="auto" w:fill="auto"/>
          <w:lang w:val="en-US" w:eastAsia="en-US" w:bidi="en-US"/>
        </w:rPr>
        <w:t>(</w:t>
      </w:r>
      <w:r>
        <w:rPr>
          <w:color w:val="73684C"/>
          <w:spacing w:val="0"/>
          <w:w w:val="100"/>
          <w:position w:val="0"/>
          <w:shd w:val="clear" w:color="auto" w:fill="auto"/>
          <w:lang w:val="en-US" w:eastAsia="en-US" w:bidi="en-US"/>
        </w:rPr>
        <w:t>&amp;c</w:t>
      </w:r>
      <w:r>
        <w:rPr>
          <w:i/>
          <w:iCs/>
          <w:color w:val="73684C"/>
          <w:spacing w:val="0"/>
          <w:w w:val="100"/>
          <w:position w:val="0"/>
          <w:shd w:val="clear" w:color="auto" w:fill="auto"/>
          <w:lang w:val="en-US" w:eastAsia="en-US" w:bidi="en-US"/>
        </w:rPr>
        <w:t xml:space="preserve">., </w:t>
      </w:r>
      <w:r>
        <w:rPr>
          <w:i/>
          <w:iCs/>
          <w:color w:val="73684C"/>
          <w:spacing w:val="0"/>
          <w:w w:val="100"/>
          <w:position w:val="0"/>
          <w:shd w:val="clear" w:color="auto" w:fill="auto"/>
          <w:lang w:val="la-001" w:eastAsia="la-001" w:bidi="la-001"/>
        </w:rPr>
        <w:t>opera Selecta,</w:t>
      </w:r>
      <w:r>
        <w:rPr>
          <w:color w:val="73684C"/>
          <w:spacing w:val="0"/>
          <w:w w:val="100"/>
          <w:position w:val="0"/>
          <w:shd w:val="clear" w:color="auto" w:fill="auto"/>
          <w:lang w:val="la-001" w:eastAsia="la-001" w:bidi="la-001"/>
        </w:rPr>
        <w:t xml:space="preserve"> p. </w:t>
      </w:r>
      <w:r>
        <w:rPr>
          <w:color w:val="73684C"/>
          <w:spacing w:val="0"/>
          <w:w w:val="100"/>
          <w:position w:val="0"/>
          <w:shd w:val="clear" w:color="auto" w:fill="auto"/>
          <w:lang w:val="en-US" w:eastAsia="en-US" w:bidi="en-US"/>
        </w:rPr>
        <w:t>162, 1. 20.</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color w:val="73684C"/>
          <w:spacing w:val="0"/>
          <w:w w:val="100"/>
          <w:position w:val="0"/>
          <w:shd w:val="clear" w:color="auto" w:fill="auto"/>
          <w:lang w:val="en-US" w:eastAsia="en-US" w:bidi="en-US"/>
        </w:rPr>
        <w:t xml:space="preserve">16 </w:t>
      </w:r>
      <w:r>
        <w:rPr>
          <w:color w:val="73684C"/>
          <w:spacing w:val="0"/>
          <w:w w:val="100"/>
          <w:position w:val="0"/>
          <w:shd w:val="clear" w:color="auto" w:fill="auto"/>
          <w:lang w:val="de-DE" w:eastAsia="de-DE" w:bidi="de-DE"/>
        </w:rPr>
        <w:t xml:space="preserve">See also Wenig, </w:t>
      </w:r>
      <w:r>
        <w:rPr>
          <w:i/>
          <w:iCs/>
          <w:color w:val="73684C"/>
          <w:spacing w:val="0"/>
          <w:w w:val="100"/>
          <w:position w:val="0"/>
          <w:shd w:val="clear" w:color="auto" w:fill="auto"/>
          <w:lang w:val="la-001" w:eastAsia="la-001" w:bidi="la-001"/>
        </w:rPr>
        <w:t>Schola Syriaca, Chrestomathia,</w:t>
      </w:r>
      <w:r>
        <w:rPr>
          <w:color w:val="73684C"/>
          <w:spacing w:val="0"/>
          <w:w w:val="100"/>
          <w:position w:val="0"/>
          <w:shd w:val="clear" w:color="auto" w:fill="auto"/>
          <w:lang w:val="la-001" w:eastAsia="la-001" w:bidi="la-001"/>
        </w:rPr>
        <w:t xml:space="preserve"> pp. </w:t>
      </w:r>
      <w:r>
        <w:rPr>
          <w:color w:val="73684C"/>
          <w:spacing w:val="0"/>
          <w:w w:val="100"/>
          <w:position w:val="0"/>
          <w:shd w:val="clear" w:color="auto" w:fill="auto"/>
          <w:lang w:val="en-US" w:eastAsia="en-US" w:bidi="en-US"/>
        </w:rPr>
        <w:t xml:space="preserve">160-162 </w:t>
      </w:r>
      <w:r>
        <w:rPr>
          <w:color w:val="73684C"/>
          <w:spacing w:val="0"/>
          <w:w w:val="100"/>
          <w:position w:val="0"/>
          <w:shd w:val="clear" w:color="auto" w:fill="auto"/>
          <w:lang w:val="la-001" w:eastAsia="la-001" w:bidi="la-001"/>
        </w:rPr>
        <w:t xml:space="preserve">; Bickell, </w:t>
      </w:r>
      <w:r>
        <w:rPr>
          <w:i/>
          <w:iCs/>
          <w:color w:val="73684C"/>
          <w:spacing w:val="0"/>
          <w:w w:val="100"/>
          <w:position w:val="0"/>
          <w:shd w:val="clear" w:color="auto" w:fill="auto"/>
          <w:lang w:val="la-001" w:eastAsia="la-001" w:bidi="la-001"/>
        </w:rPr>
        <w:t>Con</w:t>
        <w:softHyphen/>
      </w:r>
    </w:p>
    <w:p>
      <w:pPr>
        <w:pStyle w:val="Style7"/>
        <w:keepNext w:val="0"/>
        <w:keepLines w:val="0"/>
        <w:widowControl w:val="0"/>
        <w:shd w:val="clear" w:color="auto" w:fill="auto"/>
        <w:bidi w:val="0"/>
        <w:spacing w:line="192" w:lineRule="auto"/>
        <w:ind w:left="0" w:firstLine="0"/>
        <w:jc w:val="left"/>
      </w:pPr>
      <w:r>
        <w:rPr>
          <w:i/>
          <w:iCs/>
          <w:color w:val="73684C"/>
          <w:spacing w:val="0"/>
          <w:w w:val="100"/>
          <w:position w:val="0"/>
          <w:shd w:val="clear" w:color="auto" w:fill="auto"/>
          <w:lang w:val="la-001" w:eastAsia="la-001" w:bidi="la-001"/>
        </w:rPr>
        <w:t>spectus,</w:t>
      </w:r>
      <w:r>
        <w:rPr>
          <w:color w:val="73684C"/>
          <w:spacing w:val="0"/>
          <w:w w:val="100"/>
          <w:position w:val="0"/>
          <w:shd w:val="clear" w:color="auto" w:fill="auto"/>
          <w:lang w:val="la-001" w:eastAsia="la-001" w:bidi="la-001"/>
        </w:rPr>
        <w:t xml:space="preserve"> p. </w:t>
      </w:r>
      <w:r>
        <w:rPr>
          <w:color w:val="73684C"/>
          <w:spacing w:val="0"/>
          <w:w w:val="100"/>
          <w:position w:val="0"/>
          <w:shd w:val="clear" w:color="auto" w:fill="auto"/>
          <w:lang w:val="en-US" w:eastAsia="en-US" w:bidi="en-US"/>
        </w:rPr>
        <w:t xml:space="preserve">46, </w:t>
      </w:r>
      <w:r>
        <w:rPr>
          <w:color w:val="73684C"/>
          <w:spacing w:val="0"/>
          <w:w w:val="100"/>
          <w:position w:val="0"/>
          <w:shd w:val="clear" w:color="auto" w:fill="auto"/>
          <w:lang w:val="la-001" w:eastAsia="la-001" w:bidi="la-001"/>
        </w:rPr>
        <w:t xml:space="preserve">note </w:t>
      </w:r>
      <w:r>
        <w:rPr>
          <w:color w:val="73684C"/>
          <w:spacing w:val="0"/>
          <w:w w:val="100"/>
          <w:position w:val="0"/>
          <w:shd w:val="clear" w:color="auto" w:fill="auto"/>
          <w:lang w:val="en-US" w:eastAsia="en-US" w:bidi="en-US"/>
        </w:rPr>
        <w:t xml:space="preserve">5 </w:t>
      </w:r>
      <w:r>
        <w:rPr>
          <w:color w:val="73684C"/>
          <w:spacing w:val="0"/>
          <w:w w:val="100"/>
          <w:position w:val="0"/>
          <w:shd w:val="clear" w:color="auto" w:fill="auto"/>
          <w:lang w:val="la-001" w:eastAsia="la-001" w:bidi="la-001"/>
        </w:rPr>
        <w:t xml:space="preserve">; </w:t>
      </w:r>
      <w:r>
        <w:rPr>
          <w:color w:val="73684C"/>
          <w:spacing w:val="0"/>
          <w:w w:val="100"/>
          <w:position w:val="0"/>
          <w:shd w:val="clear" w:color="auto" w:fill="auto"/>
          <w:lang w:val="de-DE" w:eastAsia="de-DE" w:bidi="de-DE"/>
        </w:rPr>
        <w:t xml:space="preserve">Thalhofer, </w:t>
      </w:r>
      <w:r>
        <w:rPr>
          <w:i/>
          <w:iCs/>
          <w:color w:val="73684C"/>
          <w:spacing w:val="0"/>
          <w:w w:val="100"/>
          <w:position w:val="0"/>
          <w:shd w:val="clear" w:color="auto" w:fill="auto"/>
          <w:lang w:val="de-DE" w:eastAsia="de-DE" w:bidi="de-DE"/>
        </w:rPr>
        <w:t>Bibliothek,</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 xml:space="preserve">41, </w:t>
      </w:r>
      <w:r>
        <w:rPr>
          <w:color w:val="73684C"/>
          <w:spacing w:val="0"/>
          <w:w w:val="100"/>
          <w:position w:val="0"/>
          <w:shd w:val="clear" w:color="auto" w:fill="auto"/>
          <w:lang w:val="la-001" w:eastAsia="la-001" w:bidi="la-001"/>
        </w:rPr>
        <w:t xml:space="preserve">p. </w:t>
      </w:r>
      <w:r>
        <w:rPr>
          <w:color w:val="73684C"/>
          <w:spacing w:val="0"/>
          <w:w w:val="100"/>
          <w:position w:val="0"/>
          <w:shd w:val="clear" w:color="auto" w:fill="auto"/>
          <w:lang w:val="en-US" w:eastAsia="en-US" w:bidi="en-US"/>
        </w:rPr>
        <w:t xml:space="preserve">67, </w:t>
      </w:r>
      <w:r>
        <w:rPr>
          <w:color w:val="73684C"/>
          <w:spacing w:val="0"/>
          <w:w w:val="100"/>
          <w:position w:val="0"/>
          <w:shd w:val="clear" w:color="auto" w:fill="auto"/>
          <w:lang w:val="la-001" w:eastAsia="la-001" w:bidi="la-001"/>
        </w:rPr>
        <w:t xml:space="preserve">and </w:t>
      </w:r>
      <w:r>
        <w:rPr>
          <w:color w:val="73684C"/>
          <w:spacing w:val="0"/>
          <w:w w:val="100"/>
          <w:position w:val="0"/>
          <w:shd w:val="clear" w:color="auto" w:fill="auto"/>
          <w:lang w:val="en-US" w:eastAsia="en-US" w:bidi="en-US"/>
        </w:rPr>
        <w:t>44.</w:t>
      </w:r>
    </w:p>
    <w:p>
      <w:pPr>
        <w:pStyle w:val="Style7"/>
        <w:keepNext w:val="0"/>
        <w:keepLines w:val="0"/>
        <w:widowControl w:val="0"/>
        <w:shd w:val="clear" w:color="auto" w:fill="auto"/>
        <w:bidi w:val="0"/>
        <w:spacing w:line="190" w:lineRule="auto"/>
        <w:ind w:left="0" w:firstLine="360"/>
        <w:jc w:val="left"/>
      </w:pPr>
      <w:r>
        <w:rPr>
          <w:spacing w:val="0"/>
          <w:w w:val="100"/>
          <w:position w:val="0"/>
          <w:shd w:val="clear" w:color="auto" w:fill="auto"/>
          <w:lang w:val="en-US" w:eastAsia="en-US" w:bidi="en-US"/>
        </w:rPr>
        <w:t xml:space="preserve">@@@17 See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p. </w:t>
      </w:r>
      <w:r>
        <w:rPr>
          <w:spacing w:val="0"/>
          <w:w w:val="100"/>
          <w:position w:val="0"/>
          <w:shd w:val="clear" w:color="auto" w:fill="auto"/>
          <w:lang w:val="en-US" w:eastAsia="en-US" w:bidi="en-US"/>
        </w:rPr>
        <w:t xml:space="preserve">671, col. 1, No. 5, </w:t>
      </w:r>
      <w:r>
        <w:rPr>
          <w:i/>
          <w:iCs/>
          <w:spacing w:val="0"/>
          <w:w w:val="100"/>
          <w:position w:val="0"/>
          <w:shd w:val="clear" w:color="auto" w:fill="auto"/>
          <w:lang w:val="en-US" w:eastAsia="en-US" w:bidi="en-US"/>
        </w:rPr>
        <w:t>a.</w:t>
      </w:r>
    </w:p>
    <w:p>
      <w:pPr>
        <w:pStyle w:val="Style7"/>
        <w:keepNext w:val="0"/>
        <w:keepLines w:val="0"/>
        <w:widowControl w:val="0"/>
        <w:shd w:val="clear" w:color="auto" w:fill="auto"/>
        <w:bidi w:val="0"/>
        <w:spacing w:line="190" w:lineRule="auto"/>
        <w:ind w:left="0" w:firstLine="360"/>
        <w:jc w:val="left"/>
      </w:pPr>
      <w:r>
        <w:rPr>
          <w:spacing w:val="0"/>
          <w:w w:val="100"/>
          <w:position w:val="0"/>
          <w:shd w:val="clear" w:color="auto" w:fill="auto"/>
          <w:lang w:val="en-US" w:eastAsia="en-US" w:bidi="en-US"/>
        </w:rPr>
        <w:t xml:space="preserve">@@@16 See </w:t>
      </w:r>
      <w:r>
        <w:rPr>
          <w:i/>
          <w:iCs/>
          <w:spacing w:val="0"/>
          <w:w w:val="100"/>
          <w:position w:val="0"/>
          <w:shd w:val="clear" w:color="auto" w:fill="auto"/>
          <w:lang w:val="en-US" w:eastAsia="en-US" w:bidi="en-US"/>
        </w:rPr>
        <w:t>Chron. Edess,</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400, No. xl. ; Dionysius of </w:t>
      </w:r>
      <w:r>
        <w:rPr>
          <w:spacing w:val="0"/>
          <w:w w:val="100"/>
          <w:position w:val="0"/>
          <w:shd w:val="clear" w:color="auto" w:fill="auto"/>
          <w:lang w:val="fr-FR" w:eastAsia="fr-FR" w:bidi="fr-FR"/>
        </w:rPr>
        <w:t>Tell-Ma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r</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 xml:space="preserve">ibid., </w:t>
      </w:r>
      <w:r>
        <w:rPr>
          <w:spacing w:val="0"/>
          <w:w w:val="100"/>
          <w:position w:val="0"/>
          <w:shd w:val="clear" w:color="auto" w:fill="auto"/>
          <w:lang w:val="en-US" w:eastAsia="en-US" w:bidi="en-US"/>
        </w:rPr>
        <w:t xml:space="preserve">note 1 ; and an anonymous continuer of Eusebius in Land’s </w:t>
      </w:r>
      <w:r>
        <w:rPr>
          <w:i/>
          <w:iCs/>
          <w:spacing w:val="0"/>
          <w:w w:val="100"/>
          <w:position w:val="0"/>
          <w:shd w:val="clear" w:color="auto" w:fill="auto"/>
          <w:lang w:val="en-US" w:eastAsia="en-US" w:bidi="en-US"/>
        </w:rPr>
        <w:t>Anted:Syr.,</w:t>
      </w:r>
      <w:r>
        <w:rPr>
          <w:spacing w:val="0"/>
          <w:w w:val="100"/>
          <w:position w:val="0"/>
          <w:shd w:val="clear" w:color="auto" w:fill="auto"/>
          <w:lang w:val="en-US" w:eastAsia="en-US" w:bidi="en-US"/>
        </w:rPr>
        <w:t xml:space="preserve"> i. 8, 1. 2. Joshua Stylites (ed. Wright, p. 10, 1.1) specifies A. Gr. 707, which began with October 395.</w:t>
      </w:r>
    </w:p>
    <w:p>
      <w:pPr>
        <w:pStyle w:val="Style7"/>
        <w:keepNext w:val="0"/>
        <w:keepLines w:val="0"/>
        <w:widowControl w:val="0"/>
        <w:shd w:val="clear" w:color="auto" w:fill="auto"/>
        <w:bidi w:val="0"/>
        <w:spacing w:line="190" w:lineRule="auto"/>
        <w:ind w:left="0" w:firstLine="360"/>
        <w:jc w:val="left"/>
      </w:pPr>
      <w:r>
        <w:rPr>
          <w:spacing w:val="0"/>
          <w:w w:val="100"/>
          <w:position w:val="0"/>
          <w:shd w:val="clear" w:color="auto" w:fill="auto"/>
          <w:lang w:val="en-US" w:eastAsia="en-US" w:bidi="en-US"/>
        </w:rPr>
        <w:t xml:space="preserve">@@@19 See also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pp. 670-671 ; </w:t>
      </w:r>
      <w:r>
        <w:rPr>
          <w:spacing w:val="0"/>
          <w:w w:val="100"/>
          <w:position w:val="0"/>
          <w:shd w:val="clear" w:color="auto" w:fill="auto"/>
          <w:lang w:val="de-DE" w:eastAsia="de-DE" w:bidi="de-DE"/>
        </w:rPr>
        <w:t xml:space="preserve">Overbeck, </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S. </w:t>
      </w:r>
      <w:r>
        <w:rPr>
          <w:i/>
          <w:iCs/>
          <w:spacing w:val="0"/>
          <w:w w:val="100"/>
          <w:position w:val="0"/>
          <w:shd w:val="clear" w:color="auto" w:fill="auto"/>
          <w:lang w:val="en-US" w:eastAsia="en-US" w:bidi="en-US"/>
        </w:rPr>
        <w:t>Ephraemi,</w:t>
      </w:r>
      <w:r>
        <w:rPr>
          <w:spacing w:val="0"/>
          <w:w w:val="100"/>
          <w:position w:val="0"/>
          <w:shd w:val="clear" w:color="auto" w:fill="auto"/>
          <w:lang w:val="en-US" w:eastAsia="en-US" w:bidi="en-US"/>
        </w:rPr>
        <w:t xml:space="preserve"> &amp;c., </w:t>
      </w:r>
      <w:r>
        <w:rPr>
          <w:i/>
          <w:iCs/>
          <w:spacing w:val="0"/>
          <w:w w:val="100"/>
          <w:position w:val="0"/>
          <w:shd w:val="clear" w:color="auto" w:fill="auto"/>
          <w:lang w:val="en-US" w:eastAsia="en-US" w:bidi="en-US"/>
        </w:rPr>
        <w:t xml:space="preserve">Opera </w:t>
      </w:r>
      <w:r>
        <w:rPr>
          <w:i/>
          <w:iCs/>
          <w:spacing w:val="0"/>
          <w:w w:val="100"/>
          <w:position w:val="0"/>
          <w:shd w:val="clear" w:color="auto" w:fill="auto"/>
          <w:lang w:val="la-001" w:eastAsia="la-001" w:bidi="la-001"/>
        </w:rPr>
        <w:t>Selecta,</w:t>
      </w:r>
      <w:r>
        <w:rPr>
          <w:spacing w:val="0"/>
          <w:w w:val="100"/>
          <w:position w:val="0"/>
          <w:shd w:val="clear" w:color="auto" w:fill="auto"/>
          <w:lang w:val="la-001" w:eastAsia="la-001" w:bidi="la-001"/>
        </w:rPr>
        <w:t xml:space="preserve"> </w:t>
      </w:r>
      <w:r>
        <w:rPr>
          <w:spacing w:val="0"/>
          <w:w w:val="100"/>
          <w:position w:val="0"/>
          <w:shd w:val="clear" w:color="auto" w:fill="auto"/>
          <w:lang w:val="de-DE" w:eastAsia="de-DE" w:bidi="de-DE"/>
        </w:rPr>
        <w:t xml:space="preserve">pp. </w:t>
      </w:r>
      <w:r>
        <w:rPr>
          <w:spacing w:val="0"/>
          <w:w w:val="100"/>
          <w:position w:val="0"/>
          <w:shd w:val="clear" w:color="auto" w:fill="auto"/>
          <w:lang w:val="en-US" w:eastAsia="en-US" w:bidi="en-US"/>
        </w:rPr>
        <w:t xml:space="preserve">379-3S1 ; Bickell, </w:t>
      </w:r>
      <w:r>
        <w:rPr>
          <w:i/>
          <w:iCs/>
          <w:spacing w:val="0"/>
          <w:w w:val="100"/>
          <w:position w:val="0"/>
          <w:shd w:val="clear" w:color="auto" w:fill="auto"/>
          <w:lang w:val="en-US" w:eastAsia="en-US" w:bidi="en-US"/>
        </w:rPr>
        <w:t>Conspectus,</w:t>
      </w:r>
      <w:r>
        <w:rPr>
          <w:spacing w:val="0"/>
          <w:w w:val="100"/>
          <w:position w:val="0"/>
          <w:shd w:val="clear" w:color="auto" w:fill="auto"/>
          <w:lang w:val="en-US" w:eastAsia="en-US" w:bidi="en-US"/>
        </w:rPr>
        <w:t xml:space="preserve"> p. 34 ; </w:t>
      </w:r>
      <w:r>
        <w:rPr>
          <w:spacing w:val="0"/>
          <w:w w:val="100"/>
          <w:position w:val="0"/>
          <w:shd w:val="clear" w:color="auto" w:fill="auto"/>
          <w:lang w:val="fr-FR" w:eastAsia="fr-FR" w:bidi="fr-FR"/>
        </w:rPr>
        <w:t>Card</w:t>
      </w:r>
      <w:r>
        <w:rPr>
          <w:spacing w:val="0"/>
          <w:w w:val="100"/>
          <w:position w:val="0"/>
          <w:shd w:val="clear" w:color="auto" w:fill="auto"/>
          <w:lang w:val="en-US" w:eastAsia="en-US" w:bidi="en-US"/>
        </w:rPr>
        <w:t>āḥī</w:t>
      </w:r>
      <w:r>
        <w:rPr>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Liber Thes.,</w:t>
      </w:r>
      <w:r>
        <w:rPr>
          <w:spacing w:val="0"/>
          <w:w w:val="100"/>
          <w:position w:val="0"/>
          <w:shd w:val="clear" w:color="auto" w:fill="auto"/>
          <w:lang w:val="en-US" w:eastAsia="en-US" w:bidi="en-US"/>
        </w:rPr>
        <w:t xml:space="preserve"> pp. 27-29, who places his death in 400.</w:t>
      </w:r>
    </w:p>
    <w:p>
      <w:pPr>
        <w:pStyle w:val="Style7"/>
        <w:keepNext w:val="0"/>
        <w:keepLines w:val="0"/>
        <w:widowControl w:val="0"/>
        <w:shd w:val="clear" w:color="auto" w:fill="auto"/>
        <w:bidi w:val="0"/>
        <w:spacing w:line="190" w:lineRule="auto"/>
        <w:ind w:left="0" w:firstLine="0"/>
        <w:jc w:val="left"/>
      </w:pPr>
      <w:r>
        <w:rPr>
          <w:spacing w:val="0"/>
          <w:w w:val="100"/>
          <w:position w:val="0"/>
          <w:shd w:val="clear" w:color="auto" w:fill="auto"/>
          <w:lang w:val="en-US" w:eastAsia="en-US" w:bidi="en-US"/>
        </w:rPr>
        <w:t xml:space="preserve">@@@20 See his </w:t>
      </w:r>
      <w:r>
        <w:rPr>
          <w:i/>
          <w:iCs/>
          <w:spacing w:val="0"/>
          <w:w w:val="100"/>
          <w:position w:val="0"/>
          <w:shd w:val="clear" w:color="auto" w:fill="auto"/>
          <w:lang w:val="en-US" w:eastAsia="en-US" w:bidi="en-US"/>
        </w:rPr>
        <w:t>Conspectus,</w:t>
      </w:r>
      <w:r>
        <w:rPr>
          <w:spacing w:val="0"/>
          <w:w w:val="100"/>
          <w:position w:val="0"/>
          <w:shd w:val="clear" w:color="auto" w:fill="auto"/>
          <w:lang w:val="en-US" w:eastAsia="en-US" w:bidi="en-US"/>
        </w:rPr>
        <w:t xml:space="preserve"> p. 21 ; Thalhofer, </w:t>
      </w:r>
      <w:r>
        <w:rPr>
          <w:i/>
          <w:iCs/>
          <w:spacing w:val="0"/>
          <w:w w:val="100"/>
          <w:position w:val="0"/>
          <w:shd w:val="clear" w:color="auto" w:fill="auto"/>
          <w:lang w:val="en-US" w:eastAsia="en-US" w:bidi="en-US"/>
        </w:rPr>
        <w:t>Bibl.,</w:t>
      </w:r>
      <w:r>
        <w:rPr>
          <w:spacing w:val="0"/>
          <w:w w:val="100"/>
          <w:position w:val="0"/>
          <w:shd w:val="clear" w:color="auto" w:fill="auto"/>
          <w:lang w:val="en-US" w:eastAsia="en-US" w:bidi="en-US"/>
        </w:rPr>
        <w:t xml:space="preserve"> 41, pp. 13,16 (in the note).</w:t>
      </w:r>
    </w:p>
    <w:p>
      <w:pPr>
        <w:pStyle w:val="Style7"/>
        <w:keepNext w:val="0"/>
        <w:keepLines w:val="0"/>
        <w:widowControl w:val="0"/>
        <w:shd w:val="clear" w:color="auto" w:fill="auto"/>
        <w:bidi w:val="0"/>
        <w:spacing w:line="190" w:lineRule="auto"/>
        <w:ind w:left="0" w:firstLine="0"/>
        <w:jc w:val="left"/>
      </w:pPr>
      <w:r>
        <w:rPr>
          <w:spacing w:val="0"/>
          <w:w w:val="100"/>
          <w:position w:val="0"/>
          <w:shd w:val="clear" w:color="auto" w:fill="auto"/>
          <w:lang w:val="en-US" w:eastAsia="en-US" w:bidi="en-US"/>
        </w:rPr>
        <w:t xml:space="preserve">@@@si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133.</w:t>
      </w:r>
    </w:p>
    <w:p>
      <w:pPr>
        <w:pStyle w:val="Style7"/>
        <w:keepNext w:val="0"/>
        <w:keepLines w:val="0"/>
        <w:widowControl w:val="0"/>
        <w:shd w:val="clear" w:color="auto" w:fill="auto"/>
        <w:tabs>
          <w:tab w:pos="2997" w:val="left"/>
        </w:tabs>
        <w:bidi w:val="0"/>
        <w:spacing w:line="190" w:lineRule="auto"/>
        <w:ind w:left="0" w:firstLine="360"/>
        <w:jc w:val="left"/>
      </w:pPr>
      <w:r>
        <w:rPr>
          <w:spacing w:val="0"/>
          <w:w w:val="100"/>
          <w:position w:val="0"/>
          <w:shd w:val="clear" w:color="auto" w:fill="auto"/>
          <w:lang w:val="en-US" w:eastAsia="en-US" w:bidi="en-US"/>
        </w:rPr>
        <w:t xml:space="preserve">@@@22 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i. 170-171.</w:t>
        <w:tab/>
      </w:r>
    </w:p>
    <w:p>
      <w:pPr>
        <w:pStyle w:val="Style7"/>
        <w:keepNext w:val="0"/>
        <w:keepLines w:val="0"/>
        <w:widowControl w:val="0"/>
        <w:shd w:val="clear" w:color="auto" w:fill="auto"/>
        <w:tabs>
          <w:tab w:pos="2997" w:val="left"/>
        </w:tabs>
        <w:bidi w:val="0"/>
        <w:spacing w:line="190"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23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 172.</w:t>
      </w:r>
    </w:p>
    <w:p>
      <w:pPr>
        <w:pStyle w:val="Style7"/>
        <w:keepNext w:val="0"/>
        <w:keepLines w:val="0"/>
        <w:widowControl w:val="0"/>
        <w:shd w:val="clear" w:color="auto" w:fill="auto"/>
        <w:bidi w:val="0"/>
        <w:spacing w:line="190"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24 </w:t>
      </w:r>
      <w:r>
        <w:rPr>
          <w:spacing w:val="0"/>
          <w:w w:val="100"/>
          <w:position w:val="0"/>
          <w:shd w:val="clear" w:color="auto" w:fill="auto"/>
          <w:lang w:val="en-US" w:eastAsia="en-US" w:bidi="en-US"/>
        </w:rPr>
        <w:t xml:space="preserve">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12150, f. 252, edited by Wright in the </w:t>
      </w:r>
      <w:r>
        <w:rPr>
          <w:i/>
          <w:iCs/>
          <w:spacing w:val="0"/>
          <w:w w:val="100"/>
          <w:position w:val="0"/>
          <w:shd w:val="clear" w:color="auto" w:fill="auto"/>
          <w:lang w:val="en-US" w:eastAsia="en-US" w:bidi="en-US"/>
        </w:rPr>
        <w:t>Journal of Sacred Literature,</w:t>
      </w:r>
      <w:r>
        <w:rPr>
          <w:spacing w:val="0"/>
          <w:w w:val="100"/>
          <w:position w:val="0"/>
          <w:shd w:val="clear" w:color="auto" w:fill="auto"/>
          <w:lang w:val="en-US" w:eastAsia="en-US" w:bidi="en-US"/>
        </w:rPr>
        <w:t xml:space="preserve"> 1865-66, viii. 45, 423 ; see the </w:t>
      </w:r>
      <w:r>
        <w:rPr>
          <w:i/>
          <w:iCs/>
          <w:spacing w:val="0"/>
          <w:w w:val="100"/>
          <w:position w:val="0"/>
          <w:shd w:val="clear" w:color="auto" w:fill="auto"/>
          <w:lang w:val="en-US" w:eastAsia="en-US" w:bidi="en-US"/>
        </w:rPr>
        <w:t>Acta Sanctorum,</w:t>
      </w:r>
      <w:r>
        <w:rPr>
          <w:spacing w:val="0"/>
          <w:w w:val="100"/>
          <w:position w:val="0"/>
          <w:shd w:val="clear" w:color="auto" w:fill="auto"/>
          <w:lang w:val="en-US" w:eastAsia="en-US" w:bidi="en-US"/>
        </w:rPr>
        <w:t xml:space="preserve"> October, vol. xii. 183-185. It can hardly be later than the middle of the 4th century.</w:t>
      </w:r>
    </w:p>
    <w:p>
      <w:pPr>
        <w:pStyle w:val="Style7"/>
        <w:keepNext w:val="0"/>
        <w:keepLines w:val="0"/>
        <w:widowControl w:val="0"/>
        <w:shd w:val="clear" w:color="auto" w:fill="auto"/>
        <w:bidi w:val="0"/>
        <w:spacing w:line="190" w:lineRule="auto"/>
        <w:ind w:left="0" w:firstLine="360"/>
        <w:jc w:val="left"/>
      </w:pPr>
      <w:r>
        <w:rPr>
          <w:spacing w:val="0"/>
          <w:w w:val="100"/>
          <w:position w:val="0"/>
          <w:shd w:val="clear" w:color="auto" w:fill="auto"/>
          <w:lang w:val="en-US" w:eastAsia="en-US" w:bidi="en-US"/>
        </w:rPr>
        <w:t xml:space="preserve">@@@23 Edited in part by Cureton, in his </w:t>
      </w:r>
      <w:r>
        <w:rPr>
          <w:i/>
          <w:iCs/>
          <w:spacing w:val="0"/>
          <w:w w:val="100"/>
          <w:position w:val="0"/>
          <w:shd w:val="clear" w:color="auto" w:fill="auto"/>
          <w:lang w:val="en-US" w:eastAsia="en-US" w:bidi="en-US"/>
        </w:rPr>
        <w:t>Ancient Syriac Documents,</w:t>
      </w:r>
      <w:r>
        <w:rPr>
          <w:spacing w:val="0"/>
          <w:w w:val="100"/>
          <w:position w:val="0"/>
          <w:shd w:val="clear" w:color="auto" w:fill="auto"/>
          <w:lang w:val="en-US" w:eastAsia="en-US" w:bidi="en-US"/>
        </w:rPr>
        <w:t xml:space="preserve"> from MSS. of the 5th and 6th centuries in the British Museum ; and in full by Phillips from a MS. of the 6th century at St Petersburg, 1876. See also </w:t>
      </w:r>
      <w:r>
        <w:rPr>
          <w:i/>
          <w:iCs/>
          <w:spacing w:val="0"/>
          <w:w w:val="100"/>
          <w:position w:val="0"/>
          <w:shd w:val="clear" w:color="auto" w:fill="auto"/>
          <w:lang w:val="fr-FR" w:eastAsia="fr-FR" w:bidi="fr-FR"/>
        </w:rPr>
        <w:t xml:space="preserve">Lettre </w:t>
      </w:r>
      <w:r>
        <w:rPr>
          <w:i/>
          <w:iCs/>
          <w:spacing w:val="0"/>
          <w:w w:val="100"/>
          <w:position w:val="0"/>
          <w:shd w:val="clear" w:color="auto" w:fill="auto"/>
          <w:lang w:val="en-US" w:eastAsia="en-US" w:bidi="en-US"/>
        </w:rPr>
        <w:t xml:space="preserve">d'Abgar </w:t>
      </w:r>
      <w:r>
        <w:rPr>
          <w:i/>
          <w:iCs/>
          <w:spacing w:val="0"/>
          <w:w w:val="100"/>
          <w:position w:val="0"/>
          <w:shd w:val="clear" w:color="auto" w:fill="auto"/>
          <w:lang w:val="fr-FR" w:eastAsia="fr-FR" w:bidi="fr-FR"/>
        </w:rPr>
        <w:t>ou Histoire de la Conversion des Édesséens,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translated from the Armenian version, Venice, 1868 ; Lipsius, </w:t>
      </w:r>
      <w:r>
        <w:rPr>
          <w:i/>
          <w:iCs/>
          <w:spacing w:val="0"/>
          <w:w w:val="100"/>
          <w:position w:val="0"/>
          <w:shd w:val="clear" w:color="auto" w:fill="auto"/>
          <w:lang w:val="en-US" w:eastAsia="en-US" w:bidi="en-US"/>
        </w:rPr>
        <w:t>Die Edessenische Abgar-Sage,</w:t>
      </w:r>
      <w:r>
        <w:rPr>
          <w:spacing w:val="0"/>
          <w:w w:val="100"/>
          <w:position w:val="0"/>
          <w:shd w:val="clear" w:color="auto" w:fill="auto"/>
          <w:lang w:val="en-US" w:eastAsia="en-US" w:bidi="en-US"/>
        </w:rPr>
        <w:t xml:space="preserve"> 1880 ; Matthes, </w:t>
      </w:r>
      <w:r>
        <w:rPr>
          <w:i/>
          <w:iCs/>
          <w:spacing w:val="0"/>
          <w:w w:val="100"/>
          <w:position w:val="0"/>
          <w:shd w:val="clear" w:color="auto" w:fill="auto"/>
          <w:lang w:val="en-US" w:eastAsia="en-US" w:bidi="en-US"/>
        </w:rPr>
        <w:t>Die Edesse</w:t>
        <w:softHyphen/>
        <w:t>nische Abgar-Sage,</w:t>
      </w:r>
      <w:r>
        <w:rPr>
          <w:spacing w:val="0"/>
          <w:w w:val="100"/>
          <w:position w:val="0"/>
          <w:shd w:val="clear" w:color="auto" w:fill="auto"/>
          <w:lang w:val="en-US" w:eastAsia="en-US" w:bidi="en-US"/>
        </w:rPr>
        <w:t xml:space="preserve"> 1882; </w:t>
      </w:r>
      <w:r>
        <w:rPr>
          <w:spacing w:val="0"/>
          <w:w w:val="100"/>
          <w:position w:val="0"/>
          <w:shd w:val="clear" w:color="auto" w:fill="auto"/>
          <w:lang w:val="de-DE" w:eastAsia="de-DE" w:bidi="de-DE"/>
        </w:rPr>
        <w:t xml:space="preserve">Mösinger, </w:t>
      </w:r>
      <w:r>
        <w:rPr>
          <w:i/>
          <w:iCs/>
          <w:spacing w:val="0"/>
          <w:w w:val="100"/>
          <w:position w:val="0"/>
          <w:shd w:val="clear" w:color="auto" w:fill="auto"/>
          <w:lang w:val="en-US" w:eastAsia="en-US" w:bidi="en-US"/>
        </w:rPr>
        <w:t xml:space="preserve">Acta SS. </w:t>
      </w:r>
      <w:r>
        <w:rPr>
          <w:i/>
          <w:iCs/>
          <w:spacing w:val="0"/>
          <w:w w:val="100"/>
          <w:position w:val="0"/>
          <w:shd w:val="clear" w:color="auto" w:fill="auto"/>
          <w:lang w:val="la-001" w:eastAsia="la-001" w:bidi="la-001"/>
        </w:rPr>
        <w:t xml:space="preserve">Martyrum Edessenorum </w:t>
      </w:r>
      <w:r>
        <w:rPr>
          <w:i/>
          <w:iCs/>
          <w:spacing w:val="0"/>
          <w:w w:val="100"/>
          <w:position w:val="0"/>
          <w:shd w:val="clear" w:color="auto" w:fill="auto"/>
          <w:lang w:val="en-US" w:eastAsia="en-US" w:bidi="en-US"/>
        </w:rPr>
        <w:t>Sarbelii,</w:t>
      </w:r>
      <w:r>
        <w:rPr>
          <w:spacing w:val="0"/>
          <w:w w:val="100"/>
          <w:position w:val="0"/>
          <w:shd w:val="clear" w:color="auto" w:fill="auto"/>
          <w:lang w:val="en-US" w:eastAsia="en-US" w:bidi="en-US"/>
        </w:rPr>
        <w:t xml:space="preserve"> &amp;c., No. 1,1874.</w:t>
      </w:r>
    </w:p>
    <w:p>
      <w:pPr>
        <w:pStyle w:val="Style7"/>
        <w:keepNext w:val="0"/>
        <w:keepLines w:val="0"/>
        <w:widowControl w:val="0"/>
        <w:shd w:val="clear" w:color="auto" w:fill="auto"/>
        <w:bidi w:val="0"/>
        <w:spacing w:line="190" w:lineRule="auto"/>
        <w:ind w:left="0" w:firstLine="360"/>
        <w:jc w:val="left"/>
      </w:pPr>
      <w:r>
        <w:rPr>
          <w:spacing w:val="0"/>
          <w:w w:val="100"/>
          <w:position w:val="0"/>
          <w:shd w:val="clear" w:color="auto" w:fill="auto"/>
          <w:lang w:val="en-US" w:eastAsia="en-US" w:bidi="en-US"/>
        </w:rPr>
        <w:t xml:space="preserve">@@@26 See Cureton, </w:t>
      </w:r>
      <w:r>
        <w:rPr>
          <w:i/>
          <w:iCs/>
          <w:spacing w:val="0"/>
          <w:w w:val="100"/>
          <w:position w:val="0"/>
          <w:shd w:val="clear" w:color="auto" w:fill="auto"/>
          <w:lang w:val="en-US" w:eastAsia="en-US" w:bidi="en-US"/>
        </w:rPr>
        <w:t>Anc. Syr. Doc.,</w:t>
      </w:r>
      <w:r>
        <w:rPr>
          <w:spacing w:val="0"/>
          <w:w w:val="100"/>
          <w:position w:val="0"/>
          <w:shd w:val="clear" w:color="auto" w:fill="auto"/>
          <w:lang w:val="en-US" w:eastAsia="en-US" w:bidi="en-US"/>
        </w:rPr>
        <w:t xml:space="preserve"> and Lipsius, </w:t>
      </w:r>
      <w:r>
        <w:rPr>
          <w:i/>
          <w:iCs/>
          <w:spacing w:val="0"/>
          <w:w w:val="100"/>
          <w:position w:val="0"/>
          <w:shd w:val="clear" w:color="auto" w:fill="auto"/>
          <w:lang w:val="en-US" w:eastAsia="en-US" w:bidi="en-US"/>
        </w:rPr>
        <w:t>Die Edess. Abgar-Sage,</w:t>
      </w:r>
      <w:r>
        <w:rPr>
          <w:spacing w:val="0"/>
          <w:w w:val="100"/>
          <w:position w:val="0"/>
          <w:shd w:val="clear" w:color="auto" w:fill="auto"/>
          <w:lang w:val="en-US" w:eastAsia="en-US" w:bidi="en-US"/>
        </w:rPr>
        <w:t xml:space="preserve"> p. 41 </w:t>
      </w:r>
      <w:r>
        <w:rPr>
          <w:i/>
          <w:iCs/>
          <w:spacing w:val="0"/>
          <w:w w:val="100"/>
          <w:position w:val="0"/>
          <w:shd w:val="clear" w:color="auto" w:fill="auto"/>
          <w:lang w:val="en-US" w:eastAsia="en-US" w:bidi="en-US"/>
        </w:rPr>
        <w:t>sq.</w:t>
      </w:r>
    </w:p>
    <w:p>
      <w:pPr>
        <w:pStyle w:val="Style7"/>
        <w:keepNext w:val="0"/>
        <w:keepLines w:val="0"/>
        <w:widowControl w:val="0"/>
        <w:shd w:val="clear" w:color="auto" w:fill="auto"/>
        <w:bidi w:val="0"/>
        <w:spacing w:line="190" w:lineRule="auto"/>
        <w:ind w:left="0" w:firstLine="360"/>
        <w:jc w:val="left"/>
      </w:pPr>
      <w:r>
        <w:rPr>
          <w:spacing w:val="0"/>
          <w:w w:val="100"/>
          <w:position w:val="0"/>
          <w:shd w:val="clear" w:color="auto" w:fill="auto"/>
          <w:lang w:val="en-US" w:eastAsia="en-US" w:bidi="en-US"/>
        </w:rPr>
        <w:t xml:space="preserve">@@@-^ See Hoffmann, </w:t>
      </w:r>
      <w:r>
        <w:rPr>
          <w:i/>
          <w:iCs/>
          <w:spacing w:val="0"/>
          <w:w w:val="100"/>
          <w:position w:val="0"/>
          <w:shd w:val="clear" w:color="auto" w:fill="auto"/>
          <w:lang w:val="de-DE" w:eastAsia="de-DE" w:bidi="de-DE"/>
        </w:rPr>
        <w:t xml:space="preserve">Auszüge aus </w:t>
      </w:r>
      <w:r>
        <w:rPr>
          <w:i/>
          <w:iCs/>
          <w:spacing w:val="0"/>
          <w:w w:val="100"/>
          <w:position w:val="0"/>
          <w:shd w:val="clear" w:color="auto" w:fill="auto"/>
          <w:lang w:val="en-US" w:eastAsia="en-US" w:bidi="en-US"/>
        </w:rPr>
        <w:t xml:space="preserve">syr. </w:t>
      </w:r>
      <w:r>
        <w:rPr>
          <w:i/>
          <w:iCs/>
          <w:spacing w:val="0"/>
          <w:w w:val="100"/>
          <w:position w:val="0"/>
          <w:shd w:val="clear" w:color="auto" w:fill="auto"/>
          <w:lang w:val="de-DE" w:eastAsia="de-DE" w:bidi="de-DE"/>
        </w:rPr>
        <w:t xml:space="preserve">Akten </w:t>
      </w:r>
      <w:r>
        <w:rPr>
          <w:i/>
          <w:iCs/>
          <w:spacing w:val="0"/>
          <w:w w:val="100"/>
          <w:position w:val="0"/>
          <w:shd w:val="clear" w:color="auto" w:fill="auto"/>
          <w:lang w:val="en-US" w:eastAsia="en-US" w:bidi="en-US"/>
        </w:rPr>
        <w:t xml:space="preserve">pers. </w:t>
      </w:r>
      <w:r>
        <w:rPr>
          <w:i/>
          <w:iCs/>
          <w:spacing w:val="0"/>
          <w:w w:val="100"/>
          <w:position w:val="0"/>
          <w:shd w:val="clear" w:color="auto" w:fill="auto"/>
          <w:lang w:val="de-DE" w:eastAsia="de-DE" w:bidi="de-DE"/>
        </w:rPr>
        <w:t>Märtyrer.</w:t>
      </w:r>
    </w:p>
    <w:p>
      <w:pPr>
        <w:pStyle w:val="Style7"/>
        <w:keepNext w:val="0"/>
        <w:keepLines w:val="0"/>
        <w:widowControl w:val="0"/>
        <w:shd w:val="clear" w:color="auto" w:fill="auto"/>
        <w:bidi w:val="0"/>
        <w:spacing w:line="190" w:lineRule="auto"/>
        <w:ind w:left="0" w:firstLine="360"/>
        <w:jc w:val="left"/>
      </w:pPr>
      <w:r>
        <w:rPr>
          <w:spacing w:val="0"/>
          <w:w w:val="100"/>
          <w:position w:val="0"/>
          <w:shd w:val="clear" w:color="auto" w:fill="auto"/>
          <w:lang w:val="en-US" w:eastAsia="en-US" w:bidi="en-US"/>
        </w:rPr>
        <w:t xml:space="preserve">@@@28 </w:t>
      </w:r>
      <w:r>
        <w:rPr>
          <w:spacing w:val="0"/>
          <w:w w:val="100"/>
          <w:position w:val="0"/>
          <w:shd w:val="clear" w:color="auto" w:fill="auto"/>
          <w:lang w:val="de-DE" w:eastAsia="de-DE" w:bidi="de-DE"/>
        </w:rPr>
        <w:t xml:space="preserve">See Mösinger, </w:t>
      </w:r>
      <w:r>
        <w:rPr>
          <w:i/>
          <w:iCs/>
          <w:spacing w:val="0"/>
          <w:w w:val="100"/>
          <w:position w:val="0"/>
          <w:shd w:val="clear" w:color="auto" w:fill="auto"/>
          <w:lang w:val="la-001" w:eastAsia="la-001" w:bidi="la-001"/>
        </w:rPr>
        <w:t xml:space="preserve">Monumenta </w:t>
      </w:r>
      <w:r>
        <w:rPr>
          <w:i/>
          <w:iCs/>
          <w:spacing w:val="0"/>
          <w:w w:val="100"/>
          <w:position w:val="0"/>
          <w:shd w:val="clear" w:color="auto" w:fill="auto"/>
          <w:lang w:val="en-US" w:eastAsia="en-US" w:bidi="en-US"/>
        </w:rPr>
        <w:t>Syr.,</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ii. </w:t>
      </w:r>
      <w:r>
        <w:rPr>
          <w:spacing w:val="0"/>
          <w:w w:val="100"/>
          <w:position w:val="0"/>
          <w:shd w:val="clear" w:color="auto" w:fill="auto"/>
          <w:lang w:val="en-US" w:eastAsia="en-US" w:bidi="en-US"/>
        </w:rPr>
        <w:t xml:space="preserve">63, and Hoffmann,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45.</w:t>
      </w:r>
    </w:p>
    <w:p>
      <w:pPr>
        <w:pStyle w:val="Style7"/>
        <w:keepNext w:val="0"/>
        <w:keepLines w:val="0"/>
        <w:widowControl w:val="0"/>
        <w:shd w:val="clear" w:color="auto" w:fill="auto"/>
        <w:bidi w:val="0"/>
        <w:spacing w:line="190" w:lineRule="auto"/>
        <w:ind w:left="0" w:firstLine="360"/>
        <w:jc w:val="left"/>
      </w:pPr>
      <w:r>
        <w:rPr>
          <w:spacing w:val="0"/>
          <w:w w:val="100"/>
          <w:position w:val="0"/>
          <w:shd w:val="clear" w:color="auto" w:fill="auto"/>
          <w:lang w:val="en-US" w:eastAsia="en-US" w:bidi="en-US"/>
        </w:rPr>
        <w:t xml:space="preserve">@@@29 See Abbeloos, </w:t>
      </w:r>
      <w:r>
        <w:rPr>
          <w:i/>
          <w:iCs/>
          <w:spacing w:val="0"/>
          <w:w w:val="100"/>
          <w:position w:val="0"/>
          <w:shd w:val="clear" w:color="auto" w:fill="auto"/>
          <w:lang w:val="en-US" w:eastAsia="en-US" w:bidi="en-US"/>
        </w:rPr>
        <w:t>Acta S. Maris,</w:t>
      </w:r>
      <w:r>
        <w:rPr>
          <w:spacing w:val="0"/>
          <w:w w:val="100"/>
          <w:position w:val="0"/>
          <w:shd w:val="clear" w:color="auto" w:fill="auto"/>
          <w:lang w:val="en-US" w:eastAsia="en-US" w:bidi="en-US"/>
        </w:rPr>
        <w:t xml:space="preserve"> 1885, ρ. 47, where, as </w:t>
      </w:r>
      <w:r>
        <w:rPr>
          <w:spacing w:val="0"/>
          <w:w w:val="100"/>
          <w:position w:val="0"/>
          <w:shd w:val="clear" w:color="auto" w:fill="auto"/>
          <w:lang w:val="de-DE" w:eastAsia="de-DE" w:bidi="de-DE"/>
        </w:rPr>
        <w:t xml:space="preserve">Nöldeke </w:t>
      </w:r>
      <w:r>
        <w:rPr>
          <w:spacing w:val="0"/>
          <w:w w:val="100"/>
          <w:position w:val="0"/>
          <w:shd w:val="clear" w:color="auto" w:fill="auto"/>
          <w:lang w:val="en-US" w:eastAsia="en-US" w:bidi="en-US"/>
        </w:rPr>
        <w:t xml:space="preserve">has pointed out, the writer confounds </w:t>
      </w:r>
      <w:r>
        <w:rPr>
          <w:spacing w:val="0"/>
          <w:w w:val="100"/>
          <w:position w:val="0"/>
          <w:shd w:val="clear" w:color="auto" w:fill="auto"/>
          <w:lang w:val="fr-FR" w:eastAsia="fr-FR" w:bidi="fr-FR"/>
        </w:rPr>
        <w:t>Ardash</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the first king of the </w:t>
      </w:r>
      <w:r>
        <w:rPr>
          <w:spacing w:val="0"/>
          <w:w w:val="100"/>
          <w:position w:val="0"/>
          <w:shd w:val="clear" w:color="auto" w:fill="auto"/>
          <w:lang w:val="de-DE" w:eastAsia="de-DE" w:bidi="de-DE"/>
        </w:rPr>
        <w:t>S</w:t>
      </w:r>
      <w:r>
        <w:rPr>
          <w:spacing w:val="0"/>
          <w:w w:val="100"/>
          <w:position w:val="0"/>
          <w:shd w:val="clear" w:color="auto" w:fill="auto"/>
          <w:lang w:val="en-US" w:eastAsia="en-US" w:bidi="en-US"/>
        </w:rPr>
        <w:t>ā</w:t>
      </w:r>
      <w:r>
        <w:rPr>
          <w:spacing w:val="0"/>
          <w:w w:val="100"/>
          <w:position w:val="0"/>
          <w:shd w:val="clear" w:color="auto" w:fill="auto"/>
          <w:lang w:val="de-DE" w:eastAsia="de-DE" w:bidi="de-DE"/>
        </w:rPr>
        <w:t>s</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nian </w:t>
      </w:r>
      <w:r>
        <w:rPr>
          <w:spacing w:val="0"/>
          <w:w w:val="100"/>
          <w:position w:val="0"/>
          <w:shd w:val="clear" w:color="auto" w:fill="auto"/>
          <w:lang w:val="en-US" w:eastAsia="en-US" w:bidi="en-US"/>
        </w:rPr>
        <w:t xml:space="preserve">dynasty, with the last king of that line, Yazdegerd III., who was overthrown by the Arabs in the battle of </w:t>
      </w:r>
      <w:r>
        <w:rPr>
          <w:spacing w:val="0"/>
          <w:w w:val="100"/>
          <w:position w:val="0"/>
          <w:shd w:val="clear" w:color="auto" w:fill="auto"/>
          <w:lang w:val="fr-FR" w:eastAsia="fr-FR" w:bidi="fr-FR"/>
        </w:rPr>
        <w:t>Nih</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wand, </w:t>
      </w:r>
      <w:r>
        <w:rPr>
          <w:smallCaps/>
          <w:spacing w:val="0"/>
          <w:w w:val="100"/>
          <w:position w:val="0"/>
          <w:shd w:val="clear" w:color="auto" w:fill="auto"/>
          <w:lang w:val="en-US" w:eastAsia="en-US" w:bidi="en-US"/>
        </w:rPr>
        <w:t>a.h.</w:t>
      </w:r>
      <w:r>
        <w:rPr>
          <w:spacing w:val="0"/>
          <w:w w:val="100"/>
          <w:position w:val="0"/>
          <w:shd w:val="clear" w:color="auto" w:fill="auto"/>
          <w:lang w:val="en-US" w:eastAsia="en-US" w:bidi="en-US"/>
        </w:rPr>
        <w:t xml:space="preserve"> 2l (642 </w:t>
      </w:r>
      <w:r>
        <w:rPr>
          <w:smallCaps/>
          <w:spacing w:val="0"/>
          <w:w w:val="100"/>
          <w:position w:val="0"/>
          <w:shd w:val="clear" w:color="auto" w:fill="auto"/>
          <w:lang w:val="en-US" w:eastAsia="en-US" w:bidi="en-US"/>
        </w:rPr>
        <w:t>a.d.).</w:t>
      </w:r>
    </w:p>
    <w:p>
      <w:pPr>
        <w:pStyle w:val="Style7"/>
        <w:keepNext w:val="0"/>
        <w:keepLines w:val="0"/>
        <w:widowControl w:val="0"/>
        <w:shd w:val="clear" w:color="auto" w:fill="auto"/>
        <w:bidi w:val="0"/>
        <w:spacing w:line="190" w:lineRule="auto"/>
        <w:ind w:left="0" w:firstLine="360"/>
        <w:jc w:val="left"/>
      </w:pPr>
      <w:r>
        <w:rPr>
          <w:spacing w:val="0"/>
          <w:w w:val="100"/>
          <w:position w:val="0"/>
          <w:shd w:val="clear" w:color="auto" w:fill="auto"/>
          <w:lang w:val="en-US" w:eastAsia="en-US" w:bidi="en-US"/>
        </w:rPr>
        <w:t xml:space="preserve">@@@3θ Called by the Greeks Martyropolis, in Syriac </w:t>
      </w:r>
      <w:r>
        <w:rPr>
          <w:spacing w:val="0"/>
          <w:w w:val="100"/>
          <w:position w:val="0"/>
          <w:shd w:val="clear" w:color="auto" w:fill="auto"/>
          <w:lang w:val="fr-FR" w:eastAsia="fr-FR" w:bidi="fr-FR"/>
        </w:rPr>
        <w:t>M</w:t>
      </w:r>
      <w:r>
        <w:rPr>
          <w:spacing w:val="0"/>
          <w:w w:val="100"/>
          <w:position w:val="0"/>
          <w:shd w:val="clear" w:color="auto" w:fill="auto"/>
          <w:lang w:val="en-US" w:eastAsia="en-US" w:bidi="en-US"/>
        </w:rPr>
        <w:t>ĕ</w:t>
      </w:r>
      <w:r>
        <w:rPr>
          <w:spacing w:val="0"/>
          <w:w w:val="100"/>
          <w:position w:val="0"/>
          <w:shd w:val="clear" w:color="auto" w:fill="auto"/>
          <w:lang w:val="fr-FR" w:eastAsia="fr-FR" w:bidi="fr-FR"/>
        </w:rPr>
        <w:t>dh</w:t>
      </w:r>
      <w:r>
        <w:rPr>
          <w:spacing w:val="0"/>
          <w:w w:val="100"/>
          <w:position w:val="0"/>
          <w:shd w:val="clear" w:color="auto" w:fill="auto"/>
          <w:lang w:val="en-US" w:eastAsia="en-US" w:bidi="en-US"/>
        </w:rPr>
        <w:t>ī</w:t>
      </w:r>
      <w:r>
        <w:rPr>
          <w:spacing w:val="0"/>
          <w:w w:val="100"/>
          <w:position w:val="0"/>
          <w:shd w:val="clear" w:color="auto" w:fill="auto"/>
          <w:lang w:val="fr-FR" w:eastAsia="fr-FR" w:bidi="fr-FR"/>
        </w:rPr>
        <w:t>nath S</w:t>
      </w:r>
      <w:r>
        <w:rPr>
          <w:spacing w:val="0"/>
          <w:w w:val="100"/>
          <w:position w:val="0"/>
          <w:shd w:val="clear" w:color="auto" w:fill="auto"/>
          <w:lang w:val="en-US" w:eastAsia="en-US" w:bidi="en-US"/>
        </w:rPr>
        <w:t>ā</w:t>
      </w:r>
      <w:r>
        <w:rPr>
          <w:spacing w:val="0"/>
          <w:w w:val="100"/>
          <w:position w:val="0"/>
          <w:shd w:val="clear" w:color="auto" w:fill="auto"/>
          <w:lang w:val="fr-FR" w:eastAsia="fr-FR" w:bidi="fr-FR"/>
        </w:rPr>
        <w:t>hd</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by the Arabs </w:t>
      </w:r>
      <w:r>
        <w:rPr>
          <w:spacing w:val="0"/>
          <w:w w:val="100"/>
          <w:position w:val="0"/>
          <w:shd w:val="clear" w:color="auto" w:fill="auto"/>
          <w:lang w:val="fr-FR" w:eastAsia="fr-FR" w:bidi="fr-FR"/>
        </w:rPr>
        <w:t>Maiy</w:t>
      </w:r>
      <w:r>
        <w:rPr>
          <w:spacing w:val="0"/>
          <w:w w:val="100"/>
          <w:position w:val="0"/>
          <w:shd w:val="clear" w:color="auto" w:fill="auto"/>
          <w:lang w:val="en-US" w:eastAsia="en-US" w:bidi="en-US"/>
        </w:rPr>
        <w:t>ā</w:t>
      </w:r>
      <w:r>
        <w:rPr>
          <w:spacing w:val="0"/>
          <w:w w:val="100"/>
          <w:position w:val="0"/>
          <w:shd w:val="clear" w:color="auto" w:fill="auto"/>
          <w:lang w:val="fr-FR" w:eastAsia="fr-FR" w:bidi="fr-FR"/>
        </w:rPr>
        <w:t>f</w:t>
      </w:r>
      <w:r>
        <w:rPr>
          <w:spacing w:val="0"/>
          <w:w w:val="100"/>
          <w:position w:val="0"/>
          <w:shd w:val="clear" w:color="auto" w:fill="auto"/>
          <w:lang w:val="en-US" w:eastAsia="en-US" w:bidi="en-US"/>
        </w:rPr>
        <w:t>ā</w:t>
      </w:r>
      <w:r>
        <w:rPr>
          <w:spacing w:val="0"/>
          <w:w w:val="100"/>
          <w:position w:val="0"/>
          <w:shd w:val="clear" w:color="auto" w:fill="auto"/>
          <w:lang w:val="fr-FR" w:eastAsia="fr-FR" w:bidi="fr-FR"/>
        </w:rPr>
        <w:t>r</w:t>
      </w:r>
      <w:r>
        <w:rPr>
          <w:spacing w:val="0"/>
          <w:w w:val="100"/>
          <w:position w:val="0"/>
          <w:shd w:val="clear" w:color="auto" w:fill="auto"/>
          <w:lang w:val="en-US" w:eastAsia="en-US" w:bidi="en-US"/>
        </w:rPr>
        <w:t>ḳ</w:t>
      </w:r>
      <w:r>
        <w:rPr>
          <w:spacing w:val="0"/>
          <w:w w:val="100"/>
          <w:position w:val="0"/>
          <w:shd w:val="clear" w:color="auto" w:fill="auto"/>
          <w:lang w:val="fr-FR" w:eastAsia="fr-FR" w:bidi="fr-FR"/>
        </w:rPr>
        <w:t>ïn.</w:t>
      </w:r>
    </w:p>
    <w:p>
      <w:pPr>
        <w:widowControl w:val="0"/>
        <w:spacing w:line="1" w:lineRule="exact"/>
      </w:pPr>
    </w:p>
    <w:sectPr>
      <w:footnotePr>
        <w:pos w:val="pageBottom"/>
        <w:numFmt w:val="decimal"/>
        <w:numRestart w:val="continuous"/>
      </w:footnotePr>
      <w:type w:val="continuous"/>
      <w:pgSz w:w="12240" w:h="16840"/>
      <w:pgMar w:top="1629" w:left="1346" w:right="1517" w:bottom="14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7">
    <w:name w:val="Body text (5)"/>
    <w:basedOn w:val="Normal"/>
    <w:link w:val="CharStyle8"/>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