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Persian (Pahlavī), and thus probably ingratiated himself with the king.@@</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However, he soon fell under the royal displeasure, was degraded from his office, and ordered to retire to </w:t>
      </w:r>
      <w:r>
        <w:rPr>
          <w:spacing w:val="0"/>
          <w:w w:val="100"/>
          <w:position w:val="0"/>
          <w:shd w:val="clear" w:color="auto" w:fill="auto"/>
          <w:lang w:val="la-001" w:eastAsia="la-001" w:bidi="la-001"/>
        </w:rPr>
        <w:t xml:space="preserve">Persis, </w:t>
      </w:r>
      <w:r>
        <w:rPr>
          <w:spacing w:val="0"/>
          <w:w w:val="100"/>
          <w:position w:val="0"/>
          <w:shd w:val="clear" w:color="auto" w:fill="auto"/>
          <w:lang w:val="en-US" w:eastAsia="en-US" w:bidi="en-US"/>
        </w:rPr>
        <w:t>where he resumed his former duties,@@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so incurred the anger of Yazdegerd’s successor, </w:t>
      </w:r>
      <w:r>
        <w:rPr>
          <w:spacing w:val="0"/>
          <w:w w:val="100"/>
          <w:position w:val="0"/>
          <w:shd w:val="clear" w:color="auto" w:fill="auto"/>
          <w:lang w:val="fr-FR" w:eastAsia="fr-FR" w:bidi="fr-FR"/>
        </w:rPr>
        <w:t>P</w:t>
      </w:r>
      <w:r>
        <w:rPr>
          <w:spacing w:val="0"/>
          <w:w w:val="100"/>
          <w:position w:val="0"/>
          <w:shd w:val="clear" w:color="auto" w:fill="auto"/>
          <w:lang w:val="en-US" w:eastAsia="en-US" w:bidi="en-US"/>
        </w:rPr>
        <w:t>ē</w:t>
      </w:r>
      <w:r>
        <w:rPr>
          <w:spacing w:val="0"/>
          <w:w w:val="100"/>
          <w:position w:val="0"/>
          <w:shd w:val="clear" w:color="auto" w:fill="auto"/>
          <w:lang w:val="fr-FR" w:eastAsia="fr-FR" w:bidi="fr-FR"/>
        </w:rPr>
        <w:t>r</w:t>
      </w:r>
      <w:r>
        <w:rPr>
          <w:spacing w:val="0"/>
          <w:w w:val="100"/>
          <w:position w:val="0"/>
          <w:shd w:val="clear" w:color="auto" w:fill="auto"/>
          <w:lang w:val="en-US" w:eastAsia="en-US" w:bidi="en-US"/>
        </w:rPr>
        <w:t>ō</w:t>
      </w:r>
      <w:r>
        <w:rPr>
          <w:spacing w:val="0"/>
          <w:w w:val="100"/>
          <w:position w:val="0"/>
          <w:shd w:val="clear" w:color="auto" w:fill="auto"/>
          <w:lang w:val="fr-FR" w:eastAsia="fr-FR" w:bidi="fr-FR"/>
        </w:rPr>
        <w:t>z.</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Ma'n</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work, the exact extent of which is not known to us, was carried on and completed by other members of the Persian school,—such as Acacius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Yaz</w:t>
      </w:r>
      <w:r>
        <w:rPr>
          <w:spacing w:val="0"/>
          <w:w w:val="100"/>
          <w:position w:val="0"/>
          <w:shd w:val="clear" w:color="auto" w:fill="auto"/>
          <w:lang w:val="en-US" w:eastAsia="en-US" w:bidi="en-US"/>
        </w:rPr>
        <w:t>ī</w:t>
      </w:r>
      <w:r>
        <w:rPr>
          <w:spacing w:val="0"/>
          <w:w w:val="100"/>
          <w:position w:val="0"/>
          <w:shd w:val="clear" w:color="auto" w:fill="auto"/>
          <w:lang w:val="de-DE" w:eastAsia="de-DE" w:bidi="de-DE"/>
        </w:rPr>
        <w:t>d</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dh </w:t>
      </w:r>
      <w:r>
        <w:rPr>
          <w:spacing w:val="0"/>
          <w:w w:val="100"/>
          <w:position w:val="0"/>
          <w:shd w:val="clear" w:color="auto" w:fill="auto"/>
          <w:lang w:val="en-US" w:eastAsia="en-US" w:bidi="en-US"/>
        </w:rPr>
        <w:t xml:space="preserve">; John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 xml:space="preserve">Garmai, </w:t>
      </w:r>
      <w:r>
        <w:rPr>
          <w:spacing w:val="0"/>
          <w:w w:val="100"/>
          <w:position w:val="0"/>
          <w:shd w:val="clear" w:color="auto" w:fill="auto"/>
          <w:lang w:val="en-US" w:eastAsia="en-US" w:bidi="en-US"/>
        </w:rPr>
        <w:t xml:space="preserve">afterwards bishop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S</w:t>
      </w:r>
      <w:r>
        <w:rPr>
          <w:spacing w:val="0"/>
          <w:w w:val="100"/>
          <w:position w:val="0"/>
          <w:shd w:val="clear" w:color="auto" w:fill="auto"/>
          <w:lang w:val="en-US" w:eastAsia="en-US" w:bidi="en-US"/>
        </w:rPr>
        <w:t>ā</w:t>
      </w:r>
      <w:r>
        <w:rPr>
          <w:spacing w:val="0"/>
          <w:w w:val="100"/>
          <w:position w:val="0"/>
          <w:shd w:val="clear" w:color="auto" w:fill="auto"/>
          <w:lang w:val="fr-FR" w:eastAsia="fr-FR" w:bidi="fr-FR"/>
        </w:rPr>
        <w:t>r</w:t>
      </w:r>
      <w:r>
        <w:rPr>
          <w:spacing w:val="0"/>
          <w:w w:val="100"/>
          <w:position w:val="0"/>
          <w:shd w:val="clear" w:color="auto" w:fill="auto"/>
          <w:lang w:val="en-US" w:eastAsia="en-US" w:bidi="en-US"/>
        </w:rPr>
        <w:t>ī</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Serai?), </w:t>
      </w:r>
      <w:r>
        <w:rPr>
          <w:spacing w:val="0"/>
          <w:w w:val="100"/>
          <w:position w:val="0"/>
          <w:shd w:val="clear" w:color="auto" w:fill="auto"/>
          <w:lang w:val="en-US" w:eastAsia="en-US" w:bidi="en-US"/>
        </w:rPr>
        <w:t xml:space="preserve">and Abraham the Mede, disciples of Narsai ; </w:t>
      </w:r>
      <w:r>
        <w:rPr>
          <w:spacing w:val="0"/>
          <w:w w:val="100"/>
          <w:position w:val="0"/>
          <w:shd w:val="clear" w:color="auto" w:fill="auto"/>
          <w:lang w:val="de-DE" w:eastAsia="de-DE" w:bidi="de-DE"/>
        </w:rPr>
        <w:t>M</w:t>
      </w:r>
      <w:r>
        <w:rPr>
          <w:spacing w:val="0"/>
          <w:w w:val="100"/>
          <w:position w:val="0"/>
          <w:shd w:val="clear" w:color="auto" w:fill="auto"/>
          <w:lang w:val="en-US" w:eastAsia="en-US" w:bidi="en-US"/>
        </w:rPr>
        <w:t>ī</w:t>
      </w:r>
      <w:r>
        <w:rPr>
          <w:spacing w:val="0"/>
          <w:w w:val="100"/>
          <w:position w:val="0"/>
          <w:shd w:val="clear" w:color="auto" w:fill="auto"/>
          <w:lang w:val="de-DE" w:eastAsia="de-DE" w:bidi="de-DE"/>
        </w:rPr>
        <w:t>kh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afterwards bishop of </w:t>
      </w:r>
      <w:r>
        <w:rPr>
          <w:spacing w:val="0"/>
          <w:w w:val="100"/>
          <w:position w:val="0"/>
          <w:shd w:val="clear" w:color="auto" w:fill="auto"/>
          <w:lang w:val="de-DE" w:eastAsia="de-DE" w:bidi="de-DE"/>
        </w:rPr>
        <w:t>L</w:t>
      </w:r>
      <w:r>
        <w:rPr>
          <w:spacing w:val="0"/>
          <w:w w:val="100"/>
          <w:position w:val="0"/>
          <w:shd w:val="clear" w:color="auto" w:fill="auto"/>
          <w:lang w:val="en-US" w:eastAsia="en-US" w:bidi="en-US"/>
        </w:rPr>
        <w:t>ā</w:t>
      </w:r>
      <w:r>
        <w:rPr>
          <w:spacing w:val="0"/>
          <w:w w:val="100"/>
          <w:position w:val="0"/>
          <w:shd w:val="clear" w:color="auto" w:fill="auto"/>
          <w:lang w:val="de-DE" w:eastAsia="de-DE" w:bidi="de-DE"/>
        </w:rPr>
        <w:t>sh</w:t>
      </w:r>
      <w:r>
        <w:rPr>
          <w:spacing w:val="0"/>
          <w:w w:val="100"/>
          <w:position w:val="0"/>
          <w:shd w:val="clear" w:color="auto" w:fill="auto"/>
          <w:lang w:val="en-US" w:eastAsia="en-US" w:bidi="en-US"/>
        </w:rPr>
        <w:t>ō</w:t>
      </w:r>
      <w:r>
        <w:rPr>
          <w:spacing w:val="0"/>
          <w:w w:val="100"/>
          <w:position w:val="0"/>
          <w:shd w:val="clear" w:color="auto" w:fill="auto"/>
          <w:lang w:val="de-DE" w:eastAsia="de-DE" w:bidi="de-DE"/>
        </w:rPr>
        <w:t xml:space="preserve">m </w:t>
      </w:r>
      <w:r>
        <w:rPr>
          <w:spacing w:val="0"/>
          <w:w w:val="100"/>
          <w:position w:val="0"/>
          <w:shd w:val="clear" w:color="auto" w:fill="auto"/>
          <w:lang w:val="en-US" w:eastAsia="en-US" w:bidi="en-US"/>
        </w:rPr>
        <w:t xml:space="preserve">in Beth Gannai ; Paul bar "Ḳaḳai (or </w:t>
      </w:r>
      <w:r>
        <w:rPr>
          <w:spacing w:val="0"/>
          <w:w w:val="100"/>
          <w:position w:val="0"/>
          <w:shd w:val="clear" w:color="auto" w:fill="auto"/>
          <w:lang w:val="de-DE" w:eastAsia="de-DE" w:bidi="de-DE"/>
        </w:rPr>
        <w:t xml:space="preserve">Kaki), </w:t>
      </w:r>
      <w:r>
        <w:rPr>
          <w:spacing w:val="0"/>
          <w:w w:val="100"/>
          <w:position w:val="0"/>
          <w:shd w:val="clear" w:color="auto" w:fill="auto"/>
          <w:lang w:val="en-US" w:eastAsia="en-US" w:bidi="en-US"/>
        </w:rPr>
        <w:t>after</w:t>
        <w:softHyphen/>
        <w:t xml:space="preserve">wards bishop of </w:t>
      </w:r>
      <w:r>
        <w:rPr>
          <w:spacing w:val="0"/>
          <w:w w:val="100"/>
          <w:position w:val="0"/>
          <w:shd w:val="clear" w:color="auto" w:fill="auto"/>
          <w:lang w:val="de-DE" w:eastAsia="de-DE" w:bidi="de-DE"/>
        </w:rPr>
        <w:t>L</w:t>
      </w:r>
      <w:r>
        <w:rPr>
          <w:spacing w:val="0"/>
          <w:w w:val="100"/>
          <w:position w:val="0"/>
          <w:shd w:val="clear" w:color="auto" w:fill="auto"/>
          <w:lang w:val="en-US" w:eastAsia="en-US" w:bidi="en-US"/>
        </w:rPr>
        <w:t>ā</w:t>
      </w:r>
      <w:r>
        <w:rPr>
          <w:spacing w:val="0"/>
          <w:w w:val="100"/>
          <w:position w:val="0"/>
          <w:shd w:val="clear" w:color="auto" w:fill="auto"/>
          <w:lang w:val="de-DE" w:eastAsia="de-DE" w:bidi="de-DE"/>
        </w:rPr>
        <w:t>dh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n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al-Ahw</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'Abhshot</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of Nineveh, and others,@@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—who are expressly said to have “taken away with them ” (</w:t>
      </w:r>
      <w:r>
        <w:rPr>
          <w:i/>
          <w:iCs/>
          <w:spacing w:val="0"/>
          <w:w w:val="100"/>
          <w:position w:val="0"/>
          <w:shd w:val="clear" w:color="auto" w:fill="auto"/>
          <w:lang w:val="en-US" w:eastAsia="en-US" w:bidi="en-US"/>
        </w:rPr>
        <w:t>appēḳ 'ammĕhōri)</w:t>
      </w:r>
      <w:r>
        <w:rPr>
          <w:spacing w:val="0"/>
          <w:w w:val="100"/>
          <w:position w:val="0"/>
          <w:shd w:val="clear" w:color="auto" w:fill="auto"/>
          <w:lang w:val="en-US" w:eastAsia="en-US" w:bidi="en-US"/>
        </w:rPr>
        <w:t xml:space="preserve"> from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and disseminated throughout the East, the writings of Theodore and Nestorius.@@® Ibas himself was one of these translators in his younger days (see above, p. 829). About the same time with </w:t>
      </w:r>
      <w:r>
        <w:rPr>
          <w:spacing w:val="0"/>
          <w:w w:val="100"/>
          <w:position w:val="0"/>
          <w:shd w:val="clear" w:color="auto" w:fill="auto"/>
          <w:lang w:val="fr-FR" w:eastAsia="fr-FR" w:bidi="fr-FR"/>
        </w:rPr>
        <w:t>Ma'n</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translations began the Aristo</w:t>
        <w:softHyphen/>
        <w:t>telian studies of the Syrian Nestorians. To understand and trans</w:t>
        <w:softHyphen/>
        <w:t xml:space="preserve">late the writings of their favourite Greek theologians, Paul of </w:t>
      </w:r>
      <w:r>
        <w:rPr>
          <w:spacing w:val="0"/>
          <w:w w:val="100"/>
          <w:position w:val="0"/>
          <w:shd w:val="clear" w:color="auto" w:fill="auto"/>
          <w:lang w:val="la-001" w:eastAsia="la-001" w:bidi="la-001"/>
        </w:rPr>
        <w:t xml:space="preserve">Samosata, Diodore </w:t>
      </w:r>
      <w:r>
        <w:rPr>
          <w:spacing w:val="0"/>
          <w:w w:val="100"/>
          <w:position w:val="0"/>
          <w:shd w:val="clear" w:color="auto" w:fill="auto"/>
          <w:lang w:val="en-US" w:eastAsia="en-US" w:bidi="en-US"/>
        </w:rPr>
        <w:t>of Tarsus, Theodore of Mopsuestia, and Nestorius himself, not to mention Theodoret@@</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of Cyrrhus, required a consider</w:t>
        <w:softHyphen/>
        <w:t xml:space="preserve">able knowledge of the Aristotelian logic. Hence the labours of Probus </w:t>
      </w:r>
      <w:r>
        <w:rPr>
          <w:spacing w:val="0"/>
          <w:w w:val="100"/>
          <w:position w:val="0"/>
          <w:shd w:val="clear" w:color="auto" w:fill="auto"/>
          <w:lang w:val="el-GR" w:eastAsia="el-GR" w:bidi="el-GR"/>
        </w:rPr>
        <w:t>(</w:t>
      </w:r>
      <w:r>
        <w:rPr>
          <w:i/>
          <w:iCs/>
          <w:spacing w:val="0"/>
          <w:w w:val="100"/>
          <w:position w:val="0"/>
          <w:shd w:val="clear" w:color="auto" w:fill="auto"/>
          <w:lang w:val="el-GR" w:eastAsia="el-GR" w:bidi="el-GR"/>
        </w:rPr>
        <w:t>Πρό</w:t>
      </w:r>
      <w:r>
        <w:rPr>
          <w:i/>
          <w:iCs/>
          <w:spacing w:val="0"/>
          <w:w w:val="100"/>
          <w:position w:val="0"/>
          <w:shd w:val="clear" w:color="auto" w:fill="auto"/>
          <w:lang w:val="el-GR" w:eastAsia="el-GR" w:bidi="el-GR"/>
        </w:rPr>
        <w:t>βς</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in Syriac </w:t>
      </w:r>
      <w:r>
        <w:rPr>
          <w:i/>
          <w:iCs/>
          <w:spacing w:val="0"/>
          <w:w w:val="100"/>
          <w:position w:val="0"/>
          <w:shd w:val="clear" w:color="auto" w:fill="auto"/>
          <w:lang w:val="en-US" w:eastAsia="en-US" w:bidi="en-US"/>
        </w:rPr>
        <w:t>Pr</w:t>
      </w:r>
      <w:r>
        <w:rPr>
          <w:spacing w:val="0"/>
          <w:w w:val="100"/>
          <w:position w:val="0"/>
          <w:shd w:val="clear" w:color="auto" w:fill="auto"/>
          <w:lang w:val="en-US" w:eastAsia="en-US" w:bidi="en-US"/>
        </w:rPr>
        <w:t>ō</w:t>
      </w:r>
      <w:r>
        <w:rPr>
          <w:i/>
          <w:iCs/>
          <w:spacing w:val="0"/>
          <w:w w:val="100"/>
          <w:position w:val="0"/>
          <w:shd w:val="clear" w:color="auto" w:fill="auto"/>
          <w:lang w:val="en-US" w:eastAsia="en-US" w:bidi="en-US"/>
        </w:rPr>
        <w:t xml:space="preserve">bhos, </w:t>
      </w:r>
      <w:r>
        <w:rPr>
          <w:i/>
          <w:iCs/>
          <w:spacing w:val="0"/>
          <w:w w:val="100"/>
          <w:position w:val="0"/>
          <w:shd w:val="clear" w:color="auto" w:fill="auto"/>
          <w:lang w:val="de-DE" w:eastAsia="de-DE" w:bidi="de-DE"/>
        </w:rPr>
        <w:t>Pr</w:t>
      </w:r>
      <w:r>
        <w:rPr>
          <w:i/>
          <w:iCs/>
          <w:spacing w:val="0"/>
          <w:w w:val="100"/>
          <w:position w:val="0"/>
          <w:shd w:val="clear" w:color="auto" w:fill="auto"/>
          <w:lang w:val="en-US" w:eastAsia="en-US" w:bidi="en-US"/>
        </w:rPr>
        <w:t>ō</w:t>
      </w:r>
      <w:r>
        <w:rPr>
          <w:i/>
          <w:iCs/>
          <w:spacing w:val="0"/>
          <w:w w:val="100"/>
          <w:position w:val="0"/>
          <w:shd w:val="clear" w:color="auto" w:fill="auto"/>
          <w:lang w:val="de-DE" w:eastAsia="de-DE" w:bidi="de-DE"/>
        </w:rPr>
        <w:t>bh</w:t>
      </w:r>
      <w:r>
        <w:rPr>
          <w:i/>
          <w:iCs/>
          <w:spacing w:val="0"/>
          <w:w w:val="100"/>
          <w:position w:val="0"/>
          <w:shd w:val="clear" w:color="auto" w:fill="auto"/>
          <w:lang w:val="en-US" w:eastAsia="en-US" w:bidi="en-US"/>
        </w:rPr>
        <w:t>ā</w:t>
      </w:r>
      <w:r>
        <w:rPr>
          <w:i/>
          <w:iCs/>
          <w:spacing w:val="0"/>
          <w:w w:val="100"/>
          <w:position w:val="0"/>
          <w:shd w:val="clear" w:color="auto" w:fill="auto"/>
          <w:lang w:val="de-DE" w:eastAsia="de-DE" w:bidi="de-DE"/>
        </w:rPr>
        <w: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Prōbhē),</w:t>
      </w:r>
      <w:r>
        <w:rPr>
          <w:spacing w:val="0"/>
          <w:w w:val="100"/>
          <w:position w:val="0"/>
          <w:shd w:val="clear" w:color="auto" w:fill="auto"/>
          <w:lang w:val="en-US" w:eastAsia="en-US" w:bidi="en-US"/>
        </w:rPr>
        <w:t xml:space="preserve"> who trans</w:t>
        <w:softHyphen/>
        <w:t xml:space="preserve">lated and commented on the </w:t>
      </w:r>
      <w:r>
        <w:rPr>
          <w:spacing w:val="0"/>
          <w:w w:val="100"/>
          <w:position w:val="0"/>
          <w:sz w:val="13"/>
          <w:szCs w:val="13"/>
          <w:shd w:val="clear" w:color="auto" w:fill="auto"/>
          <w:lang w:val="en-US" w:eastAsia="en-US" w:bidi="en-US"/>
        </w:rPr>
        <w:t>∏</w:t>
      </w:r>
      <w:r>
        <w:rPr>
          <w:i/>
          <w:iCs/>
          <w:spacing w:val="0"/>
          <w:w w:val="100"/>
          <w:position w:val="0"/>
          <w:sz w:val="13"/>
          <w:szCs w:val="13"/>
          <w:shd w:val="clear" w:color="auto" w:fill="auto"/>
          <w:lang w:val="en-US" w:eastAsia="en-US" w:bidi="en-US"/>
        </w:rPr>
        <w:t>ερί</w:t>
      </w:r>
      <w:r>
        <w:rPr>
          <w:i/>
          <w:iCs/>
          <w:spacing w:val="0"/>
          <w:w w:val="100"/>
          <w:position w:val="0"/>
          <w:sz w:val="13"/>
          <w:szCs w:val="13"/>
          <w:shd w:val="clear" w:color="auto" w:fill="auto"/>
          <w:lang w:val="en-US" w:eastAsia="en-US" w:bidi="en-US"/>
        </w:rPr>
        <w:t xml:space="preserve"> </w:t>
      </w:r>
      <w:r>
        <w:rPr>
          <w:spacing w:val="0"/>
          <w:w w:val="100"/>
          <w:position w:val="0"/>
          <w:sz w:val="13"/>
          <w:szCs w:val="13"/>
          <w:shd w:val="clear" w:color="auto" w:fill="auto"/>
          <w:lang w:val="en-US" w:eastAsia="en-US" w:bidi="en-US"/>
        </w:rPr>
        <w:t>ἑ</w:t>
      </w:r>
      <w:r>
        <w:rPr>
          <w:i/>
          <w:iCs/>
          <w:spacing w:val="0"/>
          <w:w w:val="100"/>
          <w:position w:val="0"/>
          <w:shd w:val="clear" w:color="auto" w:fill="auto"/>
          <w:lang w:val="en-US" w:eastAsia="en-US" w:bidi="en-US"/>
        </w:rPr>
        <w:t>μηv</w:t>
      </w:r>
      <w:r>
        <w:rPr>
          <w:i/>
          <w:iCs/>
          <w:spacing w:val="0"/>
          <w:w w:val="100"/>
          <w:position w:val="0"/>
          <w:shd w:val="clear" w:color="auto" w:fill="auto"/>
          <w:lang w:val="en-US" w:eastAsia="en-US" w:bidi="en-US"/>
        </w:rPr>
        <w:t>εί</w:t>
      </w:r>
      <w:r>
        <w:rPr>
          <w:i/>
          <w:iCs/>
          <w:spacing w:val="0"/>
          <w:w w:val="100"/>
          <w:position w:val="0"/>
          <w:shd w:val="clear" w:color="auto" w:fill="auto"/>
          <w:lang w:val="en-US" w:eastAsia="en-US" w:bidi="en-US"/>
        </w:rPr>
        <w:t>a</w:t>
      </w:r>
      <w:r>
        <w:rPr>
          <w:i/>
          <w:iCs/>
          <w:spacing w:val="0"/>
          <w:w w:val="100"/>
          <w:position w:val="0"/>
          <w:shd w:val="clear" w:color="auto" w:fill="auto"/>
          <w:lang w:val="en-US" w:eastAsia="en-US" w:bidi="en-US"/>
        </w:rPr>
        <w:t>ς</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and probably treated in a similar manner other parts of the </w:t>
      </w:r>
      <w:r>
        <w:rPr>
          <w:i/>
          <w:iCs/>
          <w:spacing w:val="0"/>
          <w:w w:val="100"/>
          <w:position w:val="0"/>
          <w:shd w:val="clear" w:color="auto" w:fill="auto"/>
          <w:lang w:val="en-US" w:eastAsia="en-US" w:bidi="en-US"/>
        </w:rPr>
        <w:t>Organorι.</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It is not easy to fix his date precisely. </w:t>
      </w:r>
      <w:r>
        <w:rPr>
          <w:spacing w:val="0"/>
          <w:w w:val="100"/>
          <w:position w:val="0"/>
          <w:shd w:val="clear" w:color="auto" w:fill="auto"/>
          <w:lang w:val="de-DE" w:eastAsia="de-DE" w:bidi="de-DE"/>
        </w:rPr>
        <w:t>'Abhd-</w:t>
      </w:r>
      <w:r>
        <w:rPr>
          <w:spacing w:val="0"/>
          <w:w w:val="100"/>
          <w:position w:val="0"/>
          <w:shd w:val="clear" w:color="auto" w:fill="auto"/>
          <w:lang w:val="en-US" w:eastAsia="en-US" w:bidi="en-US"/>
        </w:rPr>
        <w:t>ī</w:t>
      </w:r>
      <w:r>
        <w:rPr>
          <w:spacing w:val="0"/>
          <w:w w:val="100"/>
          <w:position w:val="0"/>
          <w:shd w:val="clear" w:color="auto" w:fill="auto"/>
          <w:lang w:val="de-DE" w:eastAsia="de-DE" w:bidi="de-DE"/>
        </w:rPr>
        <w:t>sh</w:t>
      </w:r>
      <w:r>
        <w:rPr>
          <w:spacing w:val="0"/>
          <w:w w:val="100"/>
          <w:position w:val="0"/>
          <w:shd w:val="clear" w:color="auto" w:fill="auto"/>
          <w:lang w:val="en-US" w:eastAsia="en-US" w:bidi="en-US"/>
        </w:rPr>
        <w:t>ō</w:t>
      </w:r>
      <w:r>
        <w:rPr>
          <w:spacing w:val="0"/>
          <w:w w:val="100"/>
          <w:position w:val="0"/>
          <w:shd w:val="clear" w:color="auto" w:fill="auto"/>
          <w:lang w:val="de-DE" w:eastAsia="de-DE" w:bidi="de-DE"/>
        </w:rPr>
        <w:t>'</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makes him contemporary with Ibas and another translator named </w:t>
      </w:r>
      <w:r>
        <w:rPr>
          <w:spacing w:val="0"/>
          <w:w w:val="100"/>
          <w:position w:val="0"/>
          <w:shd w:val="clear" w:color="auto" w:fill="auto"/>
          <w:lang w:val="fr-FR" w:eastAsia="fr-FR" w:bidi="fr-FR"/>
        </w:rPr>
        <w:t>K</w:t>
      </w:r>
      <w:r>
        <w:rPr>
          <w:spacing w:val="0"/>
          <w:w w:val="100"/>
          <w:position w:val="0"/>
          <w:shd w:val="clear" w:color="auto" w:fill="auto"/>
          <w:lang w:val="en-US" w:eastAsia="en-US" w:bidi="en-US"/>
        </w:rPr>
        <w:t>ū</w:t>
      </w:r>
      <w:r>
        <w:rPr>
          <w:spacing w:val="0"/>
          <w:w w:val="100"/>
          <w:position w:val="0"/>
          <w:shd w:val="clear" w:color="auto" w:fill="auto"/>
          <w:lang w:val="fr-FR" w:eastAsia="fr-FR" w:bidi="fr-FR"/>
        </w:rPr>
        <w:t>m</w:t>
      </w:r>
      <w:r>
        <w:rPr>
          <w:spacing w:val="0"/>
          <w:w w:val="100"/>
          <w:position w:val="0"/>
          <w:shd w:val="clear" w:color="auto" w:fill="auto"/>
          <w:lang w:val="en-US" w:eastAsia="en-US" w:bidi="en-US"/>
        </w:rPr>
        <w:t>ī</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If the Berlin MS.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226 can be trusted, he was archdeacon and </w:t>
      </w:r>
      <w:r>
        <w:rPr>
          <w:spacing w:val="0"/>
          <w:w w:val="100"/>
          <w:position w:val="0"/>
          <w:shd w:val="clear" w:color="auto" w:fill="auto"/>
          <w:lang w:val="la-001" w:eastAsia="la-001" w:bidi="la-001"/>
        </w:rPr>
        <w:t xml:space="preserve">archiater </w:t>
      </w:r>
      <w:r>
        <w:rPr>
          <w:spacing w:val="0"/>
          <w:w w:val="100"/>
          <w:position w:val="0"/>
          <w:shd w:val="clear" w:color="auto" w:fill="auto"/>
          <w:lang w:val="en-US" w:eastAsia="en-US" w:bidi="en-US"/>
        </w:rPr>
        <w:t>at Antioch. Hoffmann@@</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has assigned reasons for supposing him not to be anterior to the Athenian expositor Syrianus (433-450 ?).</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Whilst the Nestorians were thus making rapid progress all over the East, another heresy was spreading in the West. Eutyches had found followers in Syria, among others </w:t>
      </w:r>
      <w:r>
        <w:rPr>
          <w:spacing w:val="0"/>
          <w:w w:val="100"/>
          <w:position w:val="0"/>
          <w:shd w:val="clear" w:color="auto" w:fill="auto"/>
          <w:lang w:val="fr-FR" w:eastAsia="fr-FR" w:bidi="fr-FR"/>
        </w:rPr>
        <w:t>Bar-saum</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archi</w:t>
        <w:softHyphen/>
        <w:t>mandrite, a man famous for his piety and asceticism,@@</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who repre</w:t>
        <w:softHyphen/>
        <w:t>sented the abbots of Syria at the second council of Ephesus,@@</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and was afterwards condemned by the council of </w:t>
      </w:r>
      <w:r>
        <w:rPr>
          <w:spacing w:val="0"/>
          <w:w w:val="100"/>
          <w:position w:val="0"/>
          <w:shd w:val="clear" w:color="auto" w:fill="auto"/>
          <w:lang w:val="la-001" w:eastAsia="la-001" w:bidi="la-001"/>
        </w:rPr>
        <w:t>Chalcedon.</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13</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He died in 458.@@</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His life was written by his disciple Samuel, in much the same style as that of Simeon Stylites, and is extant in several MSS. in the British Museum.@@</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His memory has always been held in the greatest reverence by the Jacobites. The Armenians, accord</w:t>
        <w:softHyphen/>
        <w:t>ing to Assemani,@@</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keep his commemoration on the 1st of February, the Syrians and Copts on the 3d. The decisions of the council of </w:t>
      </w:r>
      <w:r>
        <w:rPr>
          <w:spacing w:val="0"/>
          <w:w w:val="100"/>
          <w:position w:val="0"/>
          <w:shd w:val="clear" w:color="auto" w:fill="auto"/>
          <w:lang w:val="la-001" w:eastAsia="la-001" w:bidi="la-001"/>
        </w:rPr>
        <w:t xml:space="preserve">Chalcedon </w:t>
      </w:r>
      <w:r>
        <w:rPr>
          <w:spacing w:val="0"/>
          <w:w w:val="100"/>
          <w:position w:val="0"/>
          <w:shd w:val="clear" w:color="auto" w:fill="auto"/>
          <w:lang w:val="en-US" w:eastAsia="en-US" w:bidi="en-US"/>
        </w:rPr>
        <w:t>produced an immediate and irreparable breach in the Eastern Church ; and the struggle of the rival factions was carried on with desperate fury alike at Constantinople, Antioch, and Alex</w:t>
        <w:softHyphen/>
        <w:t>andria. In Syria the persecution of the Monophysites was violent during the years 518-521, under the emperor Justin, and again in 535 and the following years, under Justinian, when they seemed in a fair way of being completely crushed by brute force.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first name to be mentioned here, as belonging to both the 5th and 6th centuries, is that of Jacob of </w:t>
      </w:r>
      <w:r>
        <w:rPr>
          <w:spacing w:val="0"/>
          <w:w w:val="100"/>
          <w:position w:val="0"/>
          <w:shd w:val="clear" w:color="auto" w:fill="auto"/>
          <w:lang w:val="fr-FR" w:eastAsia="fr-FR" w:bidi="fr-FR"/>
        </w:rPr>
        <w:t>S</w:t>
      </w:r>
      <w:r>
        <w:rPr>
          <w:spacing w:val="0"/>
          <w:w w:val="100"/>
          <w:position w:val="0"/>
          <w:shd w:val="clear" w:color="auto" w:fill="auto"/>
          <w:lang w:val="en-US" w:eastAsia="en-US" w:bidi="en-US"/>
        </w:rPr>
        <w:t>ĕ</w:t>
      </w:r>
      <w:r>
        <w:rPr>
          <w:spacing w:val="0"/>
          <w:w w:val="100"/>
          <w:position w:val="0"/>
          <w:shd w:val="clear" w:color="auto" w:fill="auto"/>
          <w:lang w:val="fr-FR" w:eastAsia="fr-FR" w:bidi="fr-FR"/>
        </w:rPr>
        <w:t>r</w:t>
      </w:r>
      <w:r>
        <w:rPr>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gh, </w:t>
      </w:r>
      <w:r>
        <w:rPr>
          <w:spacing w:val="0"/>
          <w:w w:val="100"/>
          <w:position w:val="0"/>
          <w:shd w:val="clear" w:color="auto" w:fill="auto"/>
          <w:lang w:val="en-US" w:eastAsia="en-US" w:bidi="en-US"/>
        </w:rPr>
        <w:t>one of the most celebrated writers of the Syrian Church,@@</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“the flute of the Holy Spirit and the harp of the believing church.” There are no less than three biographies of him extant in Syriac,—the first, by his namesake Jacob of </w:t>
      </w:r>
      <w:r>
        <w:rPr>
          <w:spacing w:val="0"/>
          <w:w w:val="100"/>
          <w:position w:val="0"/>
          <w:shd w:val="clear" w:color="auto" w:fill="auto"/>
          <w:lang w:val="la-001" w:eastAsia="la-001" w:bidi="la-001"/>
        </w:rPr>
        <w:t>Edessa</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18</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the second, anonymous@@</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the third, a lengthy metrical panegyric, said to have been written for his commemoration@@</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by a disciple of his named George.@@</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This, how</w:t>
        <w:softHyphen/>
        <w:t>ever, seems, from the whole tone of the composition, to be unlikely, and Bickell is probably right in supposing the author to be George,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bishop of </w:t>
      </w:r>
      <w:r>
        <w:rPr>
          <w:spacing w:val="0"/>
          <w:w w:val="100"/>
          <w:position w:val="0"/>
          <w:shd w:val="clear" w:color="auto" w:fill="auto"/>
          <w:lang w:val="fr-FR" w:eastAsia="fr-FR" w:bidi="fr-FR"/>
        </w:rPr>
        <w:t>S</w:t>
      </w:r>
      <w:r>
        <w:rPr>
          <w:spacing w:val="0"/>
          <w:w w:val="100"/>
          <w:position w:val="0"/>
          <w:shd w:val="clear" w:color="auto" w:fill="auto"/>
          <w:lang w:val="en-US" w:eastAsia="en-US" w:bidi="en-US"/>
        </w:rPr>
        <w:t>ĕ</w:t>
      </w:r>
      <w:r>
        <w:rPr>
          <w:spacing w:val="0"/>
          <w:w w:val="100"/>
          <w:position w:val="0"/>
          <w:shd w:val="clear" w:color="auto" w:fill="auto"/>
          <w:lang w:val="fr-FR" w:eastAsia="fr-FR" w:bidi="fr-FR"/>
        </w:rPr>
        <w:t>r</w:t>
      </w:r>
      <w:r>
        <w:rPr>
          <w:spacing w:val="0"/>
          <w:w w:val="100"/>
          <w:position w:val="0"/>
          <w:shd w:val="clear" w:color="auto" w:fill="auto"/>
          <w:lang w:val="en-US" w:eastAsia="en-US" w:bidi="en-US"/>
        </w:rPr>
        <w:t>ū</w:t>
      </w:r>
      <w:r>
        <w:rPr>
          <w:spacing w:val="0"/>
          <w:w w:val="100"/>
          <w:position w:val="0"/>
          <w:shd w:val="clear" w:color="auto" w:fill="auto"/>
          <w:lang w:val="fr-FR" w:eastAsia="fr-FR" w:bidi="fr-FR"/>
        </w:rPr>
        <w:t>gh</w:t>
      </w:r>
      <w:r>
        <w:rPr>
          <w:spacing w:val="0"/>
          <w:w w:val="100"/>
          <w:position w:val="0"/>
          <w:shd w:val="clear" w:color="auto" w:fill="auto"/>
          <w:lang w:val="en-US" w:eastAsia="en-US" w:bidi="en-US"/>
        </w:rPr>
        <w:t xml:space="preserve">, a contemporary of Jacob of </w:t>
      </w:r>
      <w:r>
        <w:rPr>
          <w:spacing w:val="0"/>
          <w:w w:val="100"/>
          <w:position w:val="0"/>
          <w:shd w:val="clear" w:color="auto" w:fill="auto"/>
          <w:lang w:val="la-001" w:eastAsia="la-001" w:bidi="la-001"/>
        </w:rPr>
        <w:t>Edessa.</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22</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Jacob was born at Kurtam, “a village on the river Euphrates,” probably in the district of </w:t>
      </w:r>
      <w:r>
        <w:rPr>
          <w:spacing w:val="0"/>
          <w:w w:val="100"/>
          <w:position w:val="0"/>
          <w:shd w:val="clear" w:color="auto" w:fill="auto"/>
          <w:lang w:val="fr-FR" w:eastAsia="fr-FR" w:bidi="fr-FR"/>
        </w:rPr>
        <w:t>S</w:t>
      </w:r>
      <w:r>
        <w:rPr>
          <w:spacing w:val="0"/>
          <w:w w:val="100"/>
          <w:position w:val="0"/>
          <w:shd w:val="clear" w:color="auto" w:fill="auto"/>
          <w:lang w:val="en-US" w:eastAsia="en-US" w:bidi="en-US"/>
        </w:rPr>
        <w:t>ĕ</w:t>
      </w:r>
      <w:r>
        <w:rPr>
          <w:spacing w:val="0"/>
          <w:w w:val="100"/>
          <w:position w:val="0"/>
          <w:shd w:val="clear" w:color="auto" w:fill="auto"/>
          <w:lang w:val="fr-FR" w:eastAsia="fr-FR" w:bidi="fr-FR"/>
        </w:rPr>
        <w:t>r</w:t>
      </w:r>
      <w:r>
        <w:rPr>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gh, </w:t>
      </w:r>
      <w:r>
        <w:rPr>
          <w:spacing w:val="0"/>
          <w:w w:val="100"/>
          <w:position w:val="0"/>
          <w:shd w:val="clear" w:color="auto" w:fill="auto"/>
          <w:lang w:val="en-US" w:eastAsia="en-US" w:bidi="en-US"/>
        </w:rPr>
        <w:t xml:space="preserve">in 451. His father was a priest, and, as his parents had been childless for many years, his birth was regarded as a reward for their alms, prayers, and vows. Whether he was educated at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or not, he soon acquired a great reputation for learning and eloquence. He appears to have led a life of quiet work and study, and to have devoted himself in particular to liter</w:t>
        <w:softHyphen/>
        <w:t>ary composition. He became periodeutes of Ḥ</w:t>
      </w:r>
      <w:r>
        <w:rPr>
          <w:spacing w:val="0"/>
          <w:w w:val="100"/>
          <w:position w:val="0"/>
          <w:shd w:val="clear" w:color="auto" w:fill="auto"/>
          <w:lang w:val="de-DE" w:eastAsia="de-DE" w:bidi="de-DE"/>
        </w:rPr>
        <w:t>aur</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S</w:t>
      </w:r>
      <w:r>
        <w:rPr>
          <w:spacing w:val="0"/>
          <w:w w:val="100"/>
          <w:position w:val="0"/>
          <w:shd w:val="clear" w:color="auto" w:fill="auto"/>
          <w:lang w:val="en-US" w:eastAsia="en-US" w:bidi="en-US"/>
        </w:rPr>
        <w:t>ĕ</w:t>
      </w:r>
      <w:r>
        <w:rPr>
          <w:spacing w:val="0"/>
          <w:w w:val="100"/>
          <w:position w:val="0"/>
          <w:shd w:val="clear" w:color="auto" w:fill="auto"/>
          <w:lang w:val="fr-FR" w:eastAsia="fr-FR" w:bidi="fr-FR"/>
        </w:rPr>
        <w:t>r</w:t>
      </w:r>
      <w:r>
        <w:rPr>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gh, </w:t>
      </w:r>
      <w:r>
        <w:rPr>
          <w:spacing w:val="0"/>
          <w:w w:val="100"/>
          <w:position w:val="0"/>
          <w:shd w:val="clear" w:color="auto" w:fill="auto"/>
          <w:lang w:val="en-US" w:eastAsia="en-US" w:bidi="en-US"/>
        </w:rPr>
        <w:t xml:space="preserve">whence we find him writing to the Christians of </w:t>
      </w:r>
      <w:r>
        <w:rPr>
          <w:spacing w:val="0"/>
          <w:w w:val="100"/>
          <w:position w:val="0"/>
          <w:shd w:val="clear" w:color="auto" w:fill="auto"/>
          <w:lang w:val="de-DE" w:eastAsia="de-DE" w:bidi="de-DE"/>
        </w:rPr>
        <w:t>Najr</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n, </w:t>
      </w:r>
      <w:r>
        <w:rPr>
          <w:spacing w:val="0"/>
          <w:w w:val="100"/>
          <w:position w:val="0"/>
          <w:shd w:val="clear" w:color="auto" w:fill="auto"/>
          <w:lang w:val="en-US" w:eastAsia="en-US" w:bidi="en-US"/>
        </w:rPr>
        <w:t xml:space="preserve">and to the city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when threatened by the Persians.@@</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As perio</w:t>
        <w:softHyphen/>
        <w:t>deutes he is mentioned in eulogistic terms by Joshua the Stylite@@</w:t>
      </w:r>
      <w:r>
        <w:rPr>
          <w:spacing w:val="0"/>
          <w:w w:val="100"/>
          <w:position w:val="0"/>
          <w:shd w:val="clear" w:color="auto" w:fill="auto"/>
          <w:vertAlign w:val="superscript"/>
          <w:lang w:val="en-US" w:eastAsia="en-US" w:bidi="en-US"/>
        </w:rPr>
        <w:t xml:space="preserve">24 </w:t>
      </w:r>
      <w:r>
        <w:rPr>
          <w:spacing w:val="0"/>
          <w:w w:val="100"/>
          <w:position w:val="0"/>
          <w:shd w:val="clear" w:color="auto" w:fill="auto"/>
          <w:lang w:val="en-US" w:eastAsia="en-US" w:bidi="en-US"/>
        </w:rPr>
        <w:t xml:space="preserve">(503). In 519, when sixty-eight years old, he was made bishop of Batman, the chief town of </w:t>
      </w:r>
      <w:r>
        <w:rPr>
          <w:spacing w:val="0"/>
          <w:w w:val="100"/>
          <w:position w:val="0"/>
          <w:shd w:val="clear" w:color="auto" w:fill="auto"/>
          <w:lang w:val="fr-FR" w:eastAsia="fr-FR" w:bidi="fr-FR"/>
        </w:rPr>
        <w:t>S</w:t>
      </w:r>
      <w:r>
        <w:rPr>
          <w:spacing w:val="0"/>
          <w:w w:val="100"/>
          <w:position w:val="0"/>
          <w:shd w:val="clear" w:color="auto" w:fill="auto"/>
          <w:lang w:val="en-US" w:eastAsia="en-US" w:bidi="en-US"/>
        </w:rPr>
        <w:t>ĕ</w:t>
      </w:r>
      <w:r>
        <w:rPr>
          <w:spacing w:val="0"/>
          <w:w w:val="100"/>
          <w:position w:val="0"/>
          <w:shd w:val="clear" w:color="auto" w:fill="auto"/>
          <w:lang w:val="fr-FR" w:eastAsia="fr-FR" w:bidi="fr-FR"/>
        </w:rPr>
        <w:t>r</w:t>
      </w:r>
      <w:r>
        <w:rPr>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gh, </w:t>
      </w:r>
      <w:r>
        <w:rPr>
          <w:spacing w:val="0"/>
          <w:w w:val="100"/>
          <w:position w:val="0"/>
          <w:shd w:val="clear" w:color="auto" w:fill="auto"/>
          <w:lang w:val="en-US" w:eastAsia="en-US" w:bidi="en-US"/>
        </w:rPr>
        <w:t>where he died on 29th Novem</w:t>
        <w:softHyphen/>
        <w:t>ber 521. Jacob’s prose writings are not numerous.@@</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A liturgy is ascribed to him, and an order of baptism, the former of which has been translated by Renaudot,@@</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the latter edited by J. A. Assemani.@@</w:t>
      </w:r>
      <w:r>
        <w:rPr>
          <w:spacing w:val="0"/>
          <w:w w:val="100"/>
          <w:position w:val="0"/>
          <w:shd w:val="clear" w:color="auto" w:fill="auto"/>
          <w:vertAlign w:val="superscript"/>
          <w:lang w:val="en-US" w:eastAsia="en-US" w:bidi="en-US"/>
        </w:rPr>
        <w:t xml:space="preserve">27 </w:t>
      </w:r>
      <w:r>
        <w:rPr>
          <w:spacing w:val="0"/>
          <w:w w:val="100"/>
          <w:position w:val="0"/>
          <w:shd w:val="clear" w:color="auto" w:fill="auto"/>
          <w:lang w:val="en-US" w:eastAsia="en-US" w:bidi="en-US"/>
        </w:rPr>
        <w:t>Further, he composed six festal homilies, one of which has been published by Zingerle,@@</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who has also translated the whole of them into German@@</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 a discourse showing that we should not neglect or despise our sins@@</w:t>
      </w: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another for the night of Wednesday in the third week of Lent@@</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 and some short funeral sermons.@@</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To him we also owe a life of </w:t>
      </w:r>
      <w:r>
        <w:rPr>
          <w:spacing w:val="0"/>
          <w:w w:val="100"/>
          <w:position w:val="0"/>
          <w:shd w:val="clear" w:color="auto" w:fill="auto"/>
          <w:lang w:val="fr-FR" w:eastAsia="fr-FR" w:bidi="fr-FR"/>
        </w:rPr>
        <w:t>M</w:t>
      </w:r>
      <w:r>
        <w:rPr>
          <w:spacing w:val="0"/>
          <w:w w:val="100"/>
          <w:position w:val="0"/>
          <w:shd w:val="clear" w:color="auto" w:fill="auto"/>
          <w:lang w:val="en-US" w:eastAsia="en-US" w:bidi="en-US"/>
        </w:rPr>
        <w:t>ā</w:t>
      </w:r>
      <w:r>
        <w:rPr>
          <w:spacing w:val="0"/>
          <w:w w:val="100"/>
          <w:position w:val="0"/>
          <w:shd w:val="clear" w:color="auto" w:fill="auto"/>
          <w:lang w:val="fr-FR" w:eastAsia="fr-FR" w:bidi="fr-FR"/>
        </w:rPr>
        <w:t>r Hann</w:t>
      </w:r>
      <w:r>
        <w:rPr>
          <w:spacing w:val="0"/>
          <w:w w:val="100"/>
          <w:position w:val="0"/>
          <w:shd w:val="clear" w:color="auto" w:fill="auto"/>
          <w:lang w:val="en-US" w:eastAsia="en-US" w:bidi="en-US"/>
        </w:rPr>
        <w:t>ī</w:t>
      </w:r>
      <w:r>
        <w:rPr>
          <w:spacing w:val="0"/>
          <w:w w:val="100"/>
          <w:position w:val="0"/>
          <w:shd w:val="clear" w:color="auto" w:fill="auto"/>
          <w:lang w:val="fr-FR" w:eastAsia="fr-FR" w:bidi="fr-FR"/>
        </w:rPr>
        <w:t>n</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(died in 500), addressed to one Philotheus.@@</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Of his letters a considerable number have been pre</w:t>
        <w:softHyphen/>
        <w:t>served, particularly in two MSS. in the British Museum, Add. 14587 and 17163, ff. l-48.@@</w:t>
      </w:r>
      <w:r>
        <w:rPr>
          <w:spacing w:val="0"/>
          <w:w w:val="100"/>
          <w:position w:val="0"/>
          <w:shd w:val="clear" w:color="auto" w:fill="auto"/>
          <w:vertAlign w:val="superscript"/>
          <w:lang w:val="en-US" w:eastAsia="en-US" w:bidi="en-US"/>
        </w:rPr>
        <w:t>34</w:t>
      </w:r>
      <w:r>
        <w:rPr>
          <w:spacing w:val="0"/>
          <w:w w:val="100"/>
          <w:position w:val="0"/>
          <w:shd w:val="clear" w:color="auto" w:fill="auto"/>
          <w:lang w:val="en-US" w:eastAsia="en-US" w:bidi="en-US"/>
        </w:rPr>
        <w:t xml:space="preserve"> Of these Martin has edited and translated the three epistles to the monks of the convent of </w:t>
      </w:r>
      <w:r>
        <w:rPr>
          <w:spacing w:val="0"/>
          <w:w w:val="100"/>
          <w:position w:val="0"/>
          <w:shd w:val="clear" w:color="auto" w:fill="auto"/>
          <w:lang w:val="de-DE" w:eastAsia="de-DE" w:bidi="de-DE"/>
        </w:rPr>
        <w:t>M</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r </w:t>
      </w:r>
      <w:r>
        <w:rPr>
          <w:spacing w:val="0"/>
          <w:w w:val="100"/>
          <w:position w:val="0"/>
          <w:shd w:val="clear" w:color="auto" w:fill="auto"/>
          <w:lang w:val="la-001" w:eastAsia="la-001" w:bidi="la-001"/>
        </w:rPr>
        <w:t xml:space="preserve">Bassus </w:t>
      </w:r>
      <w:r>
        <w:rPr>
          <w:spacing w:val="0"/>
          <w:w w:val="100"/>
          <w:position w:val="0"/>
          <w:shd w:val="clear" w:color="auto" w:fill="auto"/>
          <w:lang w:val="en-US" w:eastAsia="en-US" w:bidi="en-US"/>
        </w:rPr>
        <w:t>at Ḥā</w:t>
      </w:r>
      <w:r>
        <w:rPr>
          <w:spacing w:val="0"/>
          <w:w w:val="100"/>
          <w:position w:val="0"/>
          <w:shd w:val="clear" w:color="auto" w:fill="auto"/>
          <w:lang w:val="fr-FR" w:eastAsia="fr-FR" w:bidi="fr-FR"/>
        </w:rPr>
        <w:t>rim,</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35</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with a reply by the monks, and another letter to Paul, bishop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from all of which it is evident that Jacob always was a Monophysite, and continued such to his death.@@</w:t>
      </w:r>
      <w:r>
        <w:rPr>
          <w:spacing w:val="0"/>
          <w:w w:val="100"/>
          <w:position w:val="0"/>
          <w:shd w:val="clear" w:color="auto" w:fill="auto"/>
          <w:vertAlign w:val="superscript"/>
          <w:lang w:val="en-US" w:eastAsia="en-US" w:bidi="en-US"/>
        </w:rPr>
        <w:t xml:space="preserve">36 </w:t>
      </w:r>
      <w:r>
        <w:rPr>
          <w:spacing w:val="0"/>
          <w:w w:val="100"/>
          <w:position w:val="0"/>
          <w:shd w:val="clear" w:color="auto" w:fill="auto"/>
          <w:lang w:val="en-US" w:eastAsia="en-US" w:bidi="en-US"/>
        </w:rPr>
        <w:t>The letter to Stephen bar Ṣū</w:t>
      </w:r>
      <w:r>
        <w:rPr>
          <w:spacing w:val="0"/>
          <w:w w:val="100"/>
          <w:position w:val="0"/>
          <w:shd w:val="clear" w:color="auto" w:fill="auto"/>
          <w:lang w:val="fr-FR" w:eastAsia="fr-FR" w:bidi="fr-FR"/>
        </w:rPr>
        <w:t>dh-ail</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given, with an English ver</w:t>
        <w:softHyphen/>
        <w:t>sion, by Frothingham@@</w:t>
      </w:r>
      <w:r>
        <w:rPr>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and that to the Himyarite Christians of </w:t>
      </w:r>
      <w:r>
        <w:rPr>
          <w:spacing w:val="0"/>
          <w:w w:val="100"/>
          <w:position w:val="0"/>
          <w:shd w:val="clear" w:color="auto" w:fill="auto"/>
          <w:lang w:val="de-DE" w:eastAsia="de-DE" w:bidi="de-DE"/>
        </w:rPr>
        <w:t>Najr</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n </w:t>
      </w:r>
      <w:r>
        <w:rPr>
          <w:spacing w:val="0"/>
          <w:w w:val="100"/>
          <w:position w:val="0"/>
          <w:shd w:val="clear" w:color="auto" w:fill="auto"/>
          <w:lang w:val="en-US" w:eastAsia="en-US" w:bidi="en-US"/>
        </w:rPr>
        <w:t xml:space="preserve">has been edited and translated by </w:t>
      </w:r>
      <w:r>
        <w:rPr>
          <w:spacing w:val="0"/>
          <w:w w:val="100"/>
          <w:position w:val="0"/>
          <w:shd w:val="clear" w:color="auto" w:fill="auto"/>
          <w:lang w:val="de-DE" w:eastAsia="de-DE" w:bidi="de-DE"/>
        </w:rPr>
        <w:t xml:space="preserve">Schröter </w:t>
      </w: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 xml:space="preserve">Z.D.M.G., </w:t>
      </w:r>
      <w:r>
        <w:rPr>
          <w:spacing w:val="0"/>
          <w:w w:val="100"/>
          <w:position w:val="0"/>
          <w:shd w:val="clear" w:color="auto" w:fill="auto"/>
          <w:lang w:val="en-US" w:eastAsia="en-US" w:bidi="en-US"/>
        </w:rPr>
        <w:t xml:space="preserve">xxxi. (1877), p. 360 </w:t>
      </w:r>
      <w:r>
        <w:rPr>
          <w:i/>
          <w:iCs/>
          <w:spacing w:val="0"/>
          <w:w w:val="100"/>
          <w:position w:val="0"/>
          <w:shd w:val="clear" w:color="auto" w:fill="auto"/>
          <w:lang w:val="en-US" w:eastAsia="en-US" w:bidi="en-US"/>
        </w:rPr>
        <w:t>sg.</w:t>
      </w:r>
      <w:r>
        <w:rPr>
          <w:spacing w:val="0"/>
          <w:w w:val="100"/>
          <w:position w:val="0"/>
          <w:shd w:val="clear" w:color="auto" w:fill="auto"/>
          <w:lang w:val="en-US" w:eastAsia="en-US" w:bidi="en-US"/>
        </w:rPr>
        <w:t xml:space="preserve"> It belongs to the year 519 or 520.@@</w:t>
      </w:r>
      <w:r>
        <w:rPr>
          <w:spacing w:val="0"/>
          <w:w w:val="100"/>
          <w:position w:val="0"/>
          <w:shd w:val="clear" w:color="auto" w:fill="auto"/>
          <w:vertAlign w:val="superscript"/>
          <w:lang w:val="en-US" w:eastAsia="en-US" w:bidi="en-US"/>
        </w:rPr>
        <w:t>38</w:t>
      </w:r>
      <w:r>
        <w:rPr>
          <w:spacing w:val="0"/>
          <w:w w:val="100"/>
          <w:position w:val="0"/>
          <w:shd w:val="clear" w:color="auto" w:fill="auto"/>
          <w:lang w:val="en-US" w:eastAsia="en-US" w:bidi="en-US"/>
        </w:rPr>
        <w:t xml:space="preserve"> Ac</w:t>
        <w:softHyphen/>
        <w:t>cording to Bar-Hebræus,@@</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he also wrote “a commentary on the six centuries of Evagrius, at the request of </w:t>
      </w:r>
      <w:r>
        <w:rPr>
          <w:spacing w:val="0"/>
          <w:w w:val="100"/>
          <w:position w:val="0"/>
          <w:shd w:val="clear" w:color="auto" w:fill="auto"/>
          <w:lang w:val="de-DE" w:eastAsia="de-DE" w:bidi="de-DE"/>
        </w:rPr>
        <w:t xml:space="preserve">Mär </w:t>
      </w:r>
      <w:r>
        <w:rPr>
          <w:spacing w:val="0"/>
          <w:w w:val="100"/>
          <w:position w:val="0"/>
          <w:shd w:val="clear" w:color="auto" w:fill="auto"/>
          <w:lang w:val="en-US" w:eastAsia="en-US" w:bidi="en-US"/>
        </w:rPr>
        <w:t xml:space="preserve">George, bishop of the (Arab) tribes, who was his disciple.” As George, bishop of the Arab tribes, was a contemporary of Jacob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this state</w:t>
        <w:softHyphen/>
        <w:t>ment seems to rest on some misapprehension ; at all events no such work now exists. The paucity of Jacob’s prose writings is more than compensated by a flood of metrical compositions, mostly in dodecasyllabic verse, or the four-syllable line thrice repeated. “He had,” says Bar-Hebræus,@@</w:t>
      </w:r>
      <w:r>
        <w:rPr>
          <w:spacing w:val="0"/>
          <w:w w:val="100"/>
          <w:position w:val="0"/>
          <w:shd w:val="clear" w:color="auto" w:fill="auto"/>
          <w:vertAlign w:val="superscript"/>
          <w:lang w:val="en-US" w:eastAsia="en-US" w:bidi="en-US"/>
        </w:rPr>
        <w:t>40</w:t>
      </w:r>
      <w:r>
        <w:rPr>
          <w:spacing w:val="0"/>
          <w:w w:val="100"/>
          <w:position w:val="0"/>
          <w:shd w:val="clear" w:color="auto" w:fill="auto"/>
          <w:lang w:val="en-US" w:eastAsia="en-US" w:bidi="en-US"/>
        </w:rPr>
        <w:t xml:space="preserve"> “seventy amanuenses to copy out his metrical homilies, which were 760@@</w:t>
      </w:r>
      <w:r>
        <w:rPr>
          <w:spacing w:val="0"/>
          <w:w w:val="100"/>
          <w:position w:val="0"/>
          <w:shd w:val="clear" w:color="auto" w:fill="auto"/>
          <w:vertAlign w:val="superscript"/>
          <w:lang w:val="en-US" w:eastAsia="en-US" w:bidi="en-US"/>
        </w:rPr>
        <w:t>41</w:t>
      </w:r>
      <w:r>
        <w:rPr>
          <w:spacing w:val="0"/>
          <w:w w:val="100"/>
          <w:position w:val="0"/>
          <w:shd w:val="clear" w:color="auto" w:fill="auto"/>
          <w:lang w:val="en-US" w:eastAsia="en-US" w:bidi="en-US"/>
        </w:rPr>
        <w:t xml:space="preserve"> in number, besides com</w:t>
        <w:softHyphen/>
        <w:t>mentaries and letters and odes (</w:t>
      </w:r>
      <w:r>
        <w:rPr>
          <w:i/>
          <w:iCs/>
          <w:spacing w:val="0"/>
          <w:w w:val="100"/>
          <w:position w:val="0"/>
          <w:shd w:val="clear" w:color="auto" w:fill="auto"/>
          <w:lang w:val="de-DE" w:eastAsia="de-DE" w:bidi="de-DE"/>
        </w:rPr>
        <w:t>madhr</w:t>
      </w:r>
      <w:r>
        <w:rPr>
          <w:i/>
          <w:iCs/>
          <w:spacing w:val="0"/>
          <w:w w:val="100"/>
          <w:position w:val="0"/>
          <w:shd w:val="clear" w:color="auto" w:fill="auto"/>
          <w:lang w:val="en-US" w:eastAsia="en-US" w:bidi="en-US"/>
        </w:rPr>
        <w:t>ā</w:t>
      </w:r>
      <w:r>
        <w:rPr>
          <w:i/>
          <w:iCs/>
          <w:spacing w:val="0"/>
          <w:w w:val="100"/>
          <w:position w:val="0"/>
          <w:shd w:val="clear" w:color="auto" w:fill="auto"/>
          <w:lang w:val="de-DE" w:eastAsia="de-DE" w:bidi="de-DE"/>
        </w:rPr>
        <w:t>sh</w:t>
      </w:r>
      <w:r>
        <w:rPr>
          <w:i/>
          <w:iCs/>
          <w:spacing w:val="0"/>
          <w:w w:val="100"/>
          <w:position w:val="0"/>
          <w:shd w:val="clear" w:color="auto" w:fill="auto"/>
          <w:lang w:val="en-US" w:eastAsia="en-US" w:bidi="en-US"/>
        </w:rPr>
        <w:t>ē</w:t>
      </w:r>
      <w:r>
        <w:rPr>
          <w:i/>
          <w:iCs/>
          <w:spacing w:val="0"/>
          <w:w w:val="100"/>
          <w:position w:val="0"/>
          <w:shd w:val="clear" w:color="auto" w:fill="auto"/>
          <w:lang w:val="de-DE" w:eastAsia="de-DE" w:bidi="de-DE"/>
        </w:rPr>
        <w: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hymns (</w:t>
      </w:r>
      <w:r>
        <w:rPr>
          <w:i/>
          <w:iCs/>
          <w:spacing w:val="0"/>
          <w:w w:val="100"/>
          <w:position w:val="0"/>
          <w:shd w:val="clear" w:color="auto" w:fill="auto"/>
          <w:lang w:val="en-US" w:eastAsia="en-US" w:bidi="en-US"/>
        </w:rPr>
        <w:t>sughyāthā)</w:t>
      </w:r>
      <w:r>
        <w:rPr>
          <w:i/>
          <w:iCs/>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Of these homilies more than the half have perished, but nearly 300 are still preserved in European collections.@@</w:t>
      </w:r>
      <w:r>
        <w:rPr>
          <w:spacing w:val="0"/>
          <w:w w:val="100"/>
          <w:position w:val="0"/>
          <w:shd w:val="clear" w:color="auto" w:fill="auto"/>
          <w:vertAlign w:val="superscript"/>
          <w:lang w:val="en-US" w:eastAsia="en-US" w:bidi="en-US"/>
        </w:rPr>
        <w:t>42</w:t>
      </w:r>
      <w:r>
        <w:rPr>
          <w:spacing w:val="0"/>
          <w:w w:val="100"/>
          <w:position w:val="0"/>
          <w:shd w:val="clear" w:color="auto" w:fill="auto"/>
          <w:lang w:val="en-US" w:eastAsia="en-US" w:bidi="en-US"/>
        </w:rPr>
        <w:t xml:space="preserve"> Very few of them have as yet been published, though many of them are by no means devoid of interest.@@</w:t>
      </w:r>
      <w:r>
        <w:rPr>
          <w:spacing w:val="0"/>
          <w:w w:val="100"/>
          <w:position w:val="0"/>
          <w:shd w:val="clear" w:color="auto" w:fill="auto"/>
          <w:vertAlign w:val="superscript"/>
          <w:lang w:val="en-US" w:eastAsia="en-US" w:bidi="en-US"/>
        </w:rPr>
        <w:t>43</w:t>
      </w:r>
      <w:r>
        <w:rPr>
          <w:spacing w:val="0"/>
          <w:w w:val="100"/>
          <w:position w:val="0"/>
          <w:shd w:val="clear" w:color="auto" w:fill="auto"/>
          <w:lang w:val="en-US" w:eastAsia="en-US" w:bidi="en-US"/>
        </w:rPr>
        <w:t xml:space="preserve"> Indeed Jacob is on the whole far more readable than Ephraim or Isaac of Antioch.</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Very different from the gentle and studious bishop of </w:t>
      </w:r>
      <w:r>
        <w:rPr>
          <w:spacing w:val="0"/>
          <w:w w:val="100"/>
          <w:position w:val="0"/>
          <w:shd w:val="clear" w:color="auto" w:fill="auto"/>
          <w:lang w:val="fr-FR" w:eastAsia="fr-FR" w:bidi="fr-FR"/>
        </w:rPr>
        <w:t>S</w:t>
      </w:r>
      <w:r>
        <w:rPr>
          <w:spacing w:val="0"/>
          <w:w w:val="100"/>
          <w:position w:val="0"/>
          <w:shd w:val="clear" w:color="auto" w:fill="auto"/>
          <w:lang w:val="en-US" w:eastAsia="en-US" w:bidi="en-US"/>
        </w:rPr>
        <w:t>ĕ</w:t>
      </w:r>
      <w:r>
        <w:rPr>
          <w:spacing w:val="0"/>
          <w:w w:val="100"/>
          <w:position w:val="0"/>
          <w:shd w:val="clear" w:color="auto" w:fill="auto"/>
          <w:lang w:val="fr-FR" w:eastAsia="fr-FR" w:bidi="fr-FR"/>
        </w:rPr>
        <w:t>r</w:t>
      </w:r>
      <w:r>
        <w:rPr>
          <w:spacing w:val="0"/>
          <w:w w:val="100"/>
          <w:position w:val="0"/>
          <w:shd w:val="clear" w:color="auto" w:fill="auto"/>
          <w:lang w:val="en-US" w:eastAsia="en-US" w:bidi="en-US"/>
        </w:rPr>
        <w:t>ū</w:t>
      </w:r>
      <w:r>
        <w:rPr>
          <w:spacing w:val="0"/>
          <w:w w:val="100"/>
          <w:position w:val="0"/>
          <w:shd w:val="clear" w:color="auto" w:fill="auto"/>
          <w:lang w:val="fr-FR" w:eastAsia="fr-FR" w:bidi="fr-FR"/>
        </w:rPr>
        <w:t>gh</w:t>
      </w:r>
      <w:r>
        <w:rPr>
          <w:spacing w:val="0"/>
          <w:w w:val="100"/>
          <w:position w:val="0"/>
          <w:shd w:val="clear" w:color="auto" w:fill="auto"/>
          <w:lang w:val="en-US" w:eastAsia="en-US" w:bidi="en-US"/>
        </w:rPr>
        <w:t xml:space="preserve"> was his contemporary and neighbour, the energetic and fiery </w:t>
      </w:r>
      <w:r>
        <w:rPr>
          <w:spacing w:val="0"/>
          <w:w w:val="100"/>
          <w:position w:val="0"/>
          <w:shd w:val="clear" w:color="auto" w:fill="auto"/>
          <w:lang w:val="la-001" w:eastAsia="la-001" w:bidi="la-001"/>
        </w:rPr>
        <w:t>Philo</w:t>
        <w:softHyphen/>
        <w:t xml:space="preserve">xenus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Mabb</w:t>
      </w:r>
      <w:r>
        <w:rPr>
          <w:spacing w:val="0"/>
          <w:w w:val="100"/>
          <w:position w:val="0"/>
          <w:shd w:val="clear" w:color="auto" w:fill="auto"/>
          <w:lang w:val="en-US" w:eastAsia="en-US" w:bidi="en-US"/>
        </w:rPr>
        <w:t>ō</w:t>
      </w:r>
      <w:r>
        <w:rPr>
          <w:spacing w:val="0"/>
          <w:w w:val="100"/>
          <w:position w:val="0"/>
          <w:shd w:val="clear" w:color="auto" w:fill="auto"/>
          <w:lang w:val="fr-FR" w:eastAsia="fr-FR" w:bidi="fr-FR"/>
        </w:rPr>
        <w:t>gh. Aks</w:t>
      </w:r>
      <w:r>
        <w:rPr>
          <w:spacing w:val="0"/>
          <w:w w:val="100"/>
          <w:position w:val="0"/>
          <w:shd w:val="clear" w:color="auto" w:fill="auto"/>
          <w:lang w:val="en-US" w:eastAsia="en-US" w:bidi="en-US"/>
        </w:rPr>
        <w:t>ĕ</w:t>
      </w:r>
      <w:r>
        <w:rPr>
          <w:spacing w:val="0"/>
          <w:w w:val="100"/>
          <w:position w:val="0"/>
          <w:shd w:val="clear" w:color="auto" w:fill="auto"/>
          <w:lang w:val="fr-FR" w:eastAsia="fr-FR" w:bidi="fr-FR"/>
        </w:rPr>
        <w:t>n</w:t>
      </w:r>
      <w:r>
        <w:rPr>
          <w:spacing w:val="0"/>
          <w:w w:val="100"/>
          <w:position w:val="0"/>
          <w:shd w:val="clear" w:color="auto" w:fill="auto"/>
          <w:lang w:val="en-US" w:eastAsia="en-US" w:bidi="en-US"/>
        </w:rPr>
        <w:t>ā</w:t>
      </w:r>
      <w:r>
        <w:rPr>
          <w:spacing w:val="0"/>
          <w:w w:val="100"/>
          <w:position w:val="0"/>
          <w:shd w:val="clear" w:color="auto" w:fill="auto"/>
          <w:lang w:val="fr-FR" w:eastAsia="fr-FR" w:bidi="fr-FR"/>
        </w:rPr>
        <w:t>y</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la-001" w:eastAsia="la-001" w:bidi="la-001"/>
        </w:rPr>
        <w:t xml:space="preserve">Philoxenus </w:t>
      </w:r>
      <w:r>
        <w:rPr>
          <w:spacing w:val="0"/>
          <w:w w:val="100"/>
          <w:position w:val="0"/>
          <w:shd w:val="clear" w:color="auto" w:fill="auto"/>
          <w:lang w:val="en-US" w:eastAsia="en-US" w:bidi="en-US"/>
        </w:rPr>
        <w:t xml:space="preserve">was a native of Tahal, somewhere in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 xml:space="preserve">Garmai, </w:t>
      </w:r>
      <w:r>
        <w:rPr>
          <w:spacing w:val="0"/>
          <w:w w:val="100"/>
          <w:position w:val="0"/>
          <w:shd w:val="clear" w:color="auto" w:fill="auto"/>
          <w:lang w:val="en-US" w:eastAsia="en-US" w:bidi="en-US"/>
        </w:rPr>
        <w:t xml:space="preserve">and studied at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in the time of Ibas.@@</w:t>
      </w:r>
      <w:r>
        <w:rPr>
          <w:spacing w:val="0"/>
          <w:w w:val="100"/>
          <w:position w:val="0"/>
          <w:shd w:val="clear" w:color="auto" w:fill="auto"/>
          <w:vertAlign w:val="superscript"/>
          <w:lang w:val="en-US" w:eastAsia="en-US" w:bidi="en-US"/>
        </w:rPr>
        <w:t>44</w:t>
      </w:r>
      <w:r>
        <w:rPr>
          <w:spacing w:val="0"/>
          <w:w w:val="100"/>
          <w:position w:val="0"/>
          <w:shd w:val="clear" w:color="auto" w:fill="auto"/>
          <w:lang w:val="en-US" w:eastAsia="en-US" w:bidi="en-US"/>
        </w:rPr>
        <w:t xml:space="preserve"> He was ordained bishop of Hierapolis or </w:t>
      </w:r>
      <w:r>
        <w:rPr>
          <w:spacing w:val="0"/>
          <w:w w:val="100"/>
          <w:position w:val="0"/>
          <w:shd w:val="clear" w:color="auto" w:fill="auto"/>
          <w:lang w:val="fr-FR" w:eastAsia="fr-FR" w:bidi="fr-FR"/>
        </w:rPr>
        <w:t>Mabb</w:t>
      </w:r>
      <w:r>
        <w:rPr>
          <w:spacing w:val="0"/>
          <w:w w:val="100"/>
          <w:position w:val="0"/>
          <w:shd w:val="clear" w:color="auto" w:fill="auto"/>
          <w:lang w:val="en-US" w:eastAsia="en-US" w:bidi="en-US"/>
        </w:rPr>
        <w:t>ō</w:t>
      </w:r>
      <w:r>
        <w:rPr>
          <w:spacing w:val="0"/>
          <w:w w:val="100"/>
          <w:position w:val="0"/>
          <w:shd w:val="clear" w:color="auto" w:fill="auto"/>
          <w:lang w:val="fr-FR" w:eastAsia="fr-FR" w:bidi="fr-FR"/>
        </w:rPr>
        <w:t xml:space="preserve">gh </w:t>
      </w:r>
      <w:r>
        <w:rPr>
          <w:spacing w:val="0"/>
          <w:w w:val="100"/>
          <w:position w:val="0"/>
          <w:shd w:val="clear" w:color="auto" w:fill="auto"/>
          <w:lang w:val="en-US" w:eastAsia="en-US" w:bidi="en-US"/>
        </w:rPr>
        <w:t>(Manbij) by Peter the Fuller, patriarch of Antioch, in 485, and devoted his</w:t>
      </w:r>
    </w:p>
    <w:p>
      <w:pPr>
        <w:pStyle w:val="Style10"/>
        <w:keepNext w:val="0"/>
        <w:keepLines w:val="0"/>
        <w:widowControl w:val="0"/>
        <w:shd w:val="clear" w:color="auto" w:fill="auto"/>
        <w:tabs>
          <w:tab w:pos="1368" w:val="left"/>
          <w:tab w:pos="3729" w:val="left"/>
        </w:tabs>
        <w:bidi w:val="0"/>
        <w:spacing w:line="192" w:lineRule="auto"/>
        <w:ind w:left="0" w:firstLine="36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iii. 1, 376.</w:t>
        <w:tab/>
      </w:r>
    </w:p>
    <w:p>
      <w:pPr>
        <w:pStyle w:val="Style10"/>
        <w:keepNext w:val="0"/>
        <w:keepLines w:val="0"/>
        <w:widowControl w:val="0"/>
        <w:shd w:val="clear" w:color="auto" w:fill="auto"/>
        <w:tabs>
          <w:tab w:pos="1368" w:val="left"/>
          <w:tab w:pos="3729" w:val="left"/>
        </w:tabs>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Chrοn. Eccles.,</w:t>
      </w:r>
      <w:r>
        <w:rPr>
          <w:spacing w:val="0"/>
          <w:w w:val="100"/>
          <w:position w:val="0"/>
          <w:shd w:val="clear" w:color="auto" w:fill="auto"/>
          <w:lang w:val="en-US" w:eastAsia="en-US" w:bidi="en-US"/>
        </w:rPr>
        <w:t xml:space="preserve"> ii. 63.</w:t>
        <w:tab/>
      </w:r>
    </w:p>
    <w:p>
      <w:pPr>
        <w:pStyle w:val="Style10"/>
        <w:keepNext w:val="0"/>
        <w:keepLines w:val="0"/>
        <w:widowControl w:val="0"/>
        <w:shd w:val="clear" w:color="auto" w:fill="auto"/>
        <w:tabs>
          <w:tab w:pos="1368" w:val="left"/>
          <w:tab w:pos="3729" w:val="left"/>
        </w:tabs>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xml:space="preserve"> B.Ο.,</w:t>
      </w:r>
      <w:r>
        <w:rPr>
          <w:spacing w:val="0"/>
          <w:w w:val="100"/>
          <w:position w:val="0"/>
          <w:shd w:val="clear" w:color="auto" w:fill="auto"/>
          <w:lang w:val="en-US" w:eastAsia="en-US" w:bidi="en-US"/>
        </w:rPr>
        <w:t xml:space="preserve"> ii. 402 ; iii. 1, 377.</w:t>
        <w:tab/>
      </w:r>
    </w:p>
    <w:p>
      <w:pPr>
        <w:pStyle w:val="Style10"/>
        <w:keepNext w:val="0"/>
        <w:keepLines w:val="0"/>
        <w:widowControl w:val="0"/>
        <w:shd w:val="clear" w:color="auto" w:fill="auto"/>
        <w:tabs>
          <w:tab w:pos="1368" w:val="left"/>
          <w:tab w:pos="3729" w:val="left"/>
        </w:tabs>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Ibid.,</w:t>
      </w:r>
      <w:r>
        <w:rPr>
          <w:spacing w:val="0"/>
          <w:w w:val="100"/>
          <w:position w:val="0"/>
          <w:shd w:val="clear" w:color="auto" w:fill="auto"/>
          <w:lang w:val="en-US" w:eastAsia="en-US" w:bidi="en-US"/>
        </w:rPr>
        <w:t xml:space="preserve"> i. 351-354.</w:t>
        <w:tab/>
      </w:r>
    </w:p>
    <w:p>
      <w:pPr>
        <w:pStyle w:val="Style10"/>
        <w:keepNext w:val="0"/>
        <w:keepLines w:val="0"/>
        <w:widowControl w:val="0"/>
        <w:shd w:val="clear" w:color="auto" w:fill="auto"/>
        <w:tabs>
          <w:tab w:pos="1368" w:val="left"/>
          <w:tab w:pos="3729" w:val="left"/>
        </w:tabs>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i. 350 ; iii. 1, 226, note 8.</w:t>
      </w:r>
    </w:p>
    <w:p>
      <w:pPr>
        <w:pStyle w:val="Style10"/>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@@@β His </w:t>
      </w:r>
      <w:r>
        <w:rPr>
          <w:i/>
          <w:iCs/>
          <w:spacing w:val="0"/>
          <w:w w:val="100"/>
          <w:position w:val="0"/>
          <w:shd w:val="clear" w:color="auto" w:fill="auto"/>
          <w:lang w:val="en-US" w:eastAsia="en-US" w:bidi="en-US"/>
        </w:rPr>
        <w:t>Eranistes</w:t>
      </w:r>
      <w:r>
        <w:rPr>
          <w:spacing w:val="0"/>
          <w:w w:val="100"/>
          <w:position w:val="0"/>
          <w:shd w:val="clear" w:color="auto" w:fill="auto"/>
          <w:lang w:val="en-US" w:eastAsia="en-US" w:bidi="en-US"/>
        </w:rPr>
        <w:t xml:space="preserve"> (of which the fourth book is </w:t>
      </w:r>
      <w:r>
        <w:rPr>
          <w:spacing w:val="0"/>
          <w:w w:val="100"/>
          <w:position w:val="0"/>
          <w:shd w:val="clear" w:color="auto" w:fill="auto"/>
          <w:lang w:val="la-001" w:eastAsia="la-001" w:bidi="la-001"/>
        </w:rPr>
        <w:t xml:space="preserve">a </w:t>
      </w:r>
      <w:r>
        <w:rPr>
          <w:i/>
          <w:iCs/>
          <w:spacing w:val="0"/>
          <w:w w:val="100"/>
          <w:position w:val="0"/>
          <w:shd w:val="clear" w:color="auto" w:fill="auto"/>
          <w:lang w:val="la-001" w:eastAsia="la-001" w:bidi="la-001"/>
        </w:rPr>
        <w:t xml:space="preserve">demonstratio </w:t>
      </w:r>
      <w:r>
        <w:rPr>
          <w:i/>
          <w:iCs/>
          <w:spacing w:val="0"/>
          <w:w w:val="100"/>
          <w:position w:val="0"/>
          <w:shd w:val="clear" w:color="auto" w:fill="auto"/>
          <w:lang w:val="en-US" w:eastAsia="en-US" w:bidi="en-US"/>
        </w:rPr>
        <w:t xml:space="preserve">per </w:t>
      </w:r>
      <w:r>
        <w:rPr>
          <w:i/>
          <w:iCs/>
          <w:spacing w:val="0"/>
          <w:w w:val="100"/>
          <w:position w:val="0"/>
          <w:shd w:val="clear" w:color="auto" w:fill="auto"/>
          <w:lang w:val="la-001" w:eastAsia="la-001" w:bidi="la-001"/>
        </w:rPr>
        <w:t>syllogismos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the incarnation) appears as the name of an </w:t>
      </w:r>
      <w:r>
        <w:rPr>
          <w:i/>
          <w:iCs/>
          <w:spacing w:val="0"/>
          <w:w w:val="100"/>
          <w:position w:val="0"/>
          <w:shd w:val="clear" w:color="auto" w:fill="auto"/>
          <w:lang w:val="en-US" w:eastAsia="en-US" w:bidi="en-US"/>
        </w:rPr>
        <w:t>author</w:t>
      </w:r>
      <w:r>
        <w:rPr>
          <w:spacing w:val="0"/>
          <w:w w:val="100"/>
          <w:position w:val="0"/>
          <w:shd w:val="clear" w:color="auto" w:fill="auto"/>
          <w:lang w:val="en-US" w:eastAsia="en-US" w:bidi="en-US"/>
        </w:rPr>
        <w:t xml:space="preserve"> in 'Abhd-īshō's </w:t>
      </w:r>
      <w:r>
        <w:rPr>
          <w:i/>
          <w:iCs/>
          <w:spacing w:val="0"/>
          <w:w w:val="100"/>
          <w:position w:val="0"/>
          <w:shd w:val="clear" w:color="auto" w:fill="auto"/>
          <w:lang w:val="en-US" w:eastAsia="en-US" w:bidi="en-US"/>
        </w:rPr>
        <w:t>Catalogue (B.Ο.,</w:t>
      </w:r>
      <w:r>
        <w:rPr>
          <w:spacing w:val="0"/>
          <w:w w:val="100"/>
          <w:position w:val="0"/>
          <w:shd w:val="clear" w:color="auto" w:fill="auto"/>
          <w:lang w:val="en-US" w:eastAsia="en-US" w:bidi="en-US"/>
        </w:rPr>
        <w:t xml:space="preserve"> iii. 1, 41), under the form of Eranistatheos, or something similar.</w:t>
      </w:r>
    </w:p>
    <w:p>
      <w:pPr>
        <w:pStyle w:val="Style10"/>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@@@7 See Hoffmann,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Hermeneuticis </w:t>
      </w:r>
      <w:r>
        <w:rPr>
          <w:i/>
          <w:iCs/>
          <w:spacing w:val="0"/>
          <w:w w:val="100"/>
          <w:position w:val="0"/>
          <w:shd w:val="clear" w:color="auto" w:fill="auto"/>
          <w:lang w:val="la-001" w:eastAsia="la-001" w:bidi="la-001"/>
        </w:rPr>
        <w:t>apud Syros Aristoteleis,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1869. MSS.,—Berlin, Alt. Best. 36, 9, 10 ;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14660. The translation may possibly be even anterior to Probus.</w:t>
      </w:r>
    </w:p>
    <w:p>
      <w:pPr>
        <w:pStyle w:val="Style10"/>
        <w:keepNext w:val="0"/>
        <w:keepLines w:val="0"/>
        <w:widowControl w:val="0"/>
        <w:shd w:val="clear" w:color="auto" w:fill="auto"/>
        <w:tabs>
          <w:tab w:pos="2786" w:val="left"/>
        </w:tabs>
        <w:bidi w:val="0"/>
        <w:spacing w:line="192" w:lineRule="auto"/>
        <w:ind w:left="0" w:firstLine="360"/>
        <w:jc w:val="left"/>
      </w:pPr>
      <w:r>
        <w:rPr>
          <w:spacing w:val="0"/>
          <w:w w:val="100"/>
          <w:position w:val="0"/>
          <w:shd w:val="clear" w:color="auto" w:fill="auto"/>
          <w:lang w:val="en-US" w:eastAsia="en-US" w:bidi="en-US"/>
        </w:rPr>
        <w:t xml:space="preserve">@@@8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226,1, is described as “ </w:t>
      </w:r>
      <w:r>
        <w:rPr>
          <w:spacing w:val="0"/>
          <w:w w:val="100"/>
          <w:position w:val="0"/>
          <w:shd w:val="clear" w:color="auto" w:fill="auto"/>
          <w:lang w:val="la-001" w:eastAsia="la-001" w:bidi="la-001"/>
        </w:rPr>
        <w:t xml:space="preserve">Isagoge </w:t>
      </w:r>
      <w:r>
        <w:rPr>
          <w:spacing w:val="0"/>
          <w:w w:val="100"/>
          <w:position w:val="0"/>
          <w:shd w:val="clear" w:color="auto" w:fill="auto"/>
          <w:lang w:val="de-DE" w:eastAsia="de-DE" w:bidi="de-DE"/>
        </w:rPr>
        <w:t xml:space="preserve">des </w:t>
      </w:r>
      <w:r>
        <w:rPr>
          <w:spacing w:val="0"/>
          <w:w w:val="100"/>
          <w:position w:val="0"/>
          <w:shd w:val="clear" w:color="auto" w:fill="auto"/>
          <w:lang w:val="en-US" w:eastAsia="en-US" w:bidi="en-US"/>
        </w:rPr>
        <w:t xml:space="preserve">Porphyτius,von </w:t>
      </w:r>
      <w:r>
        <w:rPr>
          <w:spacing w:val="0"/>
          <w:w w:val="100"/>
          <w:position w:val="0"/>
          <w:shd w:val="clear" w:color="auto" w:fill="auto"/>
          <w:lang w:val="de-DE" w:eastAsia="de-DE" w:bidi="de-DE"/>
        </w:rPr>
        <w:t xml:space="preserve">Probus, </w:t>
      </w:r>
      <w:r>
        <w:rPr>
          <w:spacing w:val="0"/>
          <w:w w:val="100"/>
          <w:position w:val="0"/>
          <w:shd w:val="clear" w:color="auto" w:fill="auto"/>
          <w:lang w:val="en-US" w:eastAsia="en-US" w:bidi="en-US"/>
        </w:rPr>
        <w:t xml:space="preserve">Presbyter, Archidiacon, </w:t>
      </w:r>
      <w:r>
        <w:rPr>
          <w:spacing w:val="0"/>
          <w:w w:val="100"/>
          <w:position w:val="0"/>
          <w:shd w:val="clear" w:color="auto" w:fill="auto"/>
          <w:lang w:val="de-DE" w:eastAsia="de-DE" w:bidi="de-DE"/>
        </w:rPr>
        <w:t xml:space="preserve">und </w:t>
      </w:r>
      <w:r>
        <w:rPr>
          <w:spacing w:val="0"/>
          <w:w w:val="100"/>
          <w:position w:val="0"/>
          <w:shd w:val="clear" w:color="auto" w:fill="auto"/>
          <w:lang w:val="la-001" w:eastAsia="la-001" w:bidi="la-001"/>
        </w:rPr>
        <w:t xml:space="preserve">Archiater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Antiochien”; </w:t>
      </w:r>
      <w:r>
        <w:rPr>
          <w:spacing w:val="0"/>
          <w:w w:val="100"/>
          <w:position w:val="0"/>
          <w:shd w:val="clear" w:color="auto" w:fill="auto"/>
          <w:lang w:val="en-US" w:eastAsia="en-US" w:bidi="en-US"/>
        </w:rPr>
        <w:t xml:space="preserve">and in the same MS., No. 8, is “ </w:t>
      </w:r>
      <w:r>
        <w:rPr>
          <w:spacing w:val="0"/>
          <w:w w:val="100"/>
          <w:position w:val="0"/>
          <w:shd w:val="clear" w:color="auto" w:fill="auto"/>
          <w:lang w:val="de-DE" w:eastAsia="de-DE" w:bidi="de-DE"/>
        </w:rPr>
        <w:t xml:space="preserve">Erklärung der </w:t>
      </w:r>
      <w:r>
        <w:rPr>
          <w:spacing w:val="0"/>
          <w:w w:val="100"/>
          <w:position w:val="0"/>
          <w:shd w:val="clear" w:color="auto" w:fill="auto"/>
          <w:lang w:val="en-US" w:eastAsia="en-US" w:bidi="en-US"/>
        </w:rPr>
        <w:t xml:space="preserve">Analytica von Probus,” with an “ </w:t>
      </w:r>
      <w:r>
        <w:rPr>
          <w:spacing w:val="0"/>
          <w:w w:val="100"/>
          <w:position w:val="0"/>
          <w:shd w:val="clear" w:color="auto" w:fill="auto"/>
          <w:lang w:val="de-DE" w:eastAsia="de-DE" w:bidi="de-DE"/>
        </w:rPr>
        <w:t xml:space="preserve">Einleitung </w:t>
      </w:r>
      <w:r>
        <w:rPr>
          <w:spacing w:val="0"/>
          <w:w w:val="100"/>
          <w:position w:val="0"/>
          <w:shd w:val="clear" w:color="auto" w:fill="auto"/>
          <w:lang w:val="en-US" w:eastAsia="en-US" w:bidi="en-US"/>
        </w:rPr>
        <w:t>in d. Erkl. d. Anal, von Probus,” No. 7.</w:t>
        <w:tab/>
      </w:r>
    </w:p>
    <w:p>
      <w:pPr>
        <w:pStyle w:val="Style10"/>
        <w:keepNext w:val="0"/>
        <w:keepLines w:val="0"/>
        <w:widowControl w:val="0"/>
        <w:shd w:val="clear" w:color="auto" w:fill="auto"/>
        <w:tabs>
          <w:tab w:pos="2926" w:val="left"/>
        </w:tabs>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xml:space="preserve"> B.Ο.,</w:t>
      </w:r>
      <w:r>
        <w:rPr>
          <w:spacing w:val="0"/>
          <w:w w:val="100"/>
          <w:position w:val="0"/>
          <w:shd w:val="clear" w:color="auto" w:fill="auto"/>
          <w:lang w:val="en-US" w:eastAsia="en-US" w:bidi="en-US"/>
        </w:rPr>
        <w:t xml:space="preserve"> iii. 1, 85.</w:t>
      </w:r>
    </w:p>
    <w:p>
      <w:pPr>
        <w:pStyle w:val="Style10"/>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i</w:t>
      </w:r>
      <w:r>
        <w:rPr>
          <w:i/>
          <w:iCs/>
          <w:spacing w:val="0"/>
          <w:w w:val="100"/>
          <w:position w:val="0"/>
          <w:shd w:val="clear" w:color="auto" w:fill="auto"/>
          <w:lang w:val="en-US" w:eastAsia="en-US" w:bidi="en-US"/>
        </w:rPr>
        <w:t>° Οp. cit.,</w:t>
      </w:r>
      <w:r>
        <w:rPr>
          <w:spacing w:val="0"/>
          <w:w w:val="100"/>
          <w:position w:val="0"/>
          <w:shd w:val="clear" w:color="auto" w:fill="auto"/>
          <w:lang w:val="en-US" w:eastAsia="en-US" w:bidi="en-US"/>
        </w:rPr>
        <w:t xml:space="preserve"> pp. 144-145. The name of </w:t>
      </w:r>
      <w:r>
        <w:rPr>
          <w:spacing w:val="0"/>
          <w:w w:val="100"/>
          <w:position w:val="0"/>
          <w:shd w:val="clear" w:color="auto" w:fill="auto"/>
          <w:lang w:val="fr-FR" w:eastAsia="fr-FR" w:bidi="fr-FR"/>
        </w:rPr>
        <w:t>F</w:t>
      </w:r>
      <w:r>
        <w:rPr>
          <w:spacing w:val="0"/>
          <w:w w:val="100"/>
          <w:position w:val="0"/>
          <w:shd w:val="clear" w:color="auto" w:fill="auto"/>
          <w:lang w:val="en-US" w:eastAsia="en-US" w:bidi="en-US"/>
        </w:rPr>
        <w:t>ū</w:t>
      </w:r>
      <w:r>
        <w:rPr>
          <w:spacing w:val="0"/>
          <w:w w:val="100"/>
          <w:position w:val="0"/>
          <w:shd w:val="clear" w:color="auto" w:fill="auto"/>
          <w:lang w:val="fr-FR" w:eastAsia="fr-FR" w:bidi="fr-FR"/>
        </w:rPr>
        <w:t>br</w:t>
      </w:r>
      <w:r>
        <w:rPr>
          <w:spacing w:val="0"/>
          <w:w w:val="100"/>
          <w:position w:val="0"/>
          <w:shd w:val="clear" w:color="auto" w:fill="auto"/>
          <w:lang w:val="en-US" w:eastAsia="en-US" w:bidi="en-US"/>
        </w:rPr>
        <w:t>ī</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Phubrius, which appears as a variation of Probus in Hottinger (B.0.), in Assemani (B.O., iii. 1, 85, note 5), in Renan (Be </w:t>
      </w:r>
      <w:r>
        <w:rPr>
          <w:i/>
          <w:iCs/>
          <w:spacing w:val="0"/>
          <w:w w:val="100"/>
          <w:position w:val="0"/>
          <w:shd w:val="clear" w:color="auto" w:fill="auto"/>
          <w:lang w:val="la-001" w:eastAsia="la-001" w:bidi="la-001"/>
        </w:rPr>
        <w:t>Philosophia Peripatetica apud Syros,</w:t>
      </w:r>
      <w:r>
        <w:rPr>
          <w:spacing w:val="0"/>
          <w:w w:val="100"/>
          <w:position w:val="0"/>
          <w:shd w:val="clear" w:color="auto" w:fill="auto"/>
          <w:lang w:val="la-001" w:eastAsia="la-001" w:bidi="la-001"/>
        </w:rPr>
        <w:t xml:space="preserve"> p. </w:t>
      </w:r>
      <w:r>
        <w:rPr>
          <w:spacing w:val="0"/>
          <w:w w:val="100"/>
          <w:position w:val="0"/>
          <w:shd w:val="clear" w:color="auto" w:fill="auto"/>
          <w:lang w:val="en-US" w:eastAsia="en-US" w:bidi="en-US"/>
        </w:rPr>
        <w:t>14), and in other books on this subject, has nothing to do with that of Probus, but is an error for Ḳ</w:t>
      </w:r>
      <w:r>
        <w:rPr>
          <w:spacing w:val="0"/>
          <w:w w:val="100"/>
          <w:position w:val="0"/>
          <w:shd w:val="clear" w:color="auto" w:fill="auto"/>
          <w:lang w:val="fr-FR" w:eastAsia="fr-FR" w:bidi="fr-FR"/>
        </w:rPr>
        <w:t>uwair</w:t>
      </w:r>
      <w:r>
        <w:rPr>
          <w:spacing w:val="0"/>
          <w:w w:val="100"/>
          <w:position w:val="0"/>
          <w:shd w:val="clear" w:color="auto" w:fill="auto"/>
          <w:lang w:val="en-US" w:eastAsia="en-US" w:bidi="en-US"/>
        </w:rPr>
        <w:t>ī</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Abū </w:t>
      </w:r>
      <w:r>
        <w:rPr>
          <w:spacing w:val="0"/>
          <w:w w:val="100"/>
          <w:position w:val="0"/>
          <w:shd w:val="clear" w:color="auto" w:fill="auto"/>
          <w:lang w:val="fr-FR" w:eastAsia="fr-FR" w:bidi="fr-FR"/>
        </w:rPr>
        <w:t>Ish</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k Ibrâhîm, </w:t>
      </w:r>
      <w:r>
        <w:rPr>
          <w:spacing w:val="0"/>
          <w:w w:val="100"/>
          <w:position w:val="0"/>
          <w:shd w:val="clear" w:color="auto" w:fill="auto"/>
          <w:lang w:val="en-US" w:eastAsia="en-US" w:bidi="en-US"/>
        </w:rPr>
        <w:t xml:space="preserve">a Syro-Arabian Aristotelian who lived about the beginning of the 10th century. See the </w:t>
      </w:r>
      <w:r>
        <w:rPr>
          <w:i/>
          <w:iCs/>
          <w:spacing w:val="0"/>
          <w:w w:val="100"/>
          <w:position w:val="0"/>
          <w:shd w:val="clear" w:color="auto" w:fill="auto"/>
          <w:lang w:val="en-US" w:eastAsia="en-US" w:bidi="en-US"/>
        </w:rPr>
        <w:t>Fihrist,</w:t>
      </w:r>
      <w:r>
        <w:rPr>
          <w:spacing w:val="0"/>
          <w:w w:val="100"/>
          <w:position w:val="0"/>
          <w:shd w:val="clear" w:color="auto" w:fill="auto"/>
          <w:lang w:val="en-US" w:eastAsia="en-US" w:bidi="en-US"/>
        </w:rPr>
        <w:t xml:space="preserve"> p. 262 ; Ibn Abī Oṣaibi'ah, i. 234 ; Wüstenfeld, </w:t>
      </w:r>
      <w:r>
        <w:rPr>
          <w:i/>
          <w:iCs/>
          <w:spacing w:val="0"/>
          <w:w w:val="100"/>
          <w:position w:val="0"/>
          <w:shd w:val="clear" w:color="auto" w:fill="auto"/>
          <w:lang w:val="en-US" w:eastAsia="en-US" w:bidi="en-US"/>
        </w:rPr>
        <w:t>Gesch. d. Arab. Aerzte,</w:t>
      </w:r>
      <w:r>
        <w:rPr>
          <w:spacing w:val="0"/>
          <w:w w:val="100"/>
          <w:position w:val="0"/>
          <w:shd w:val="clear" w:color="auto" w:fill="auto"/>
          <w:lang w:val="en-US" w:eastAsia="en-US" w:bidi="en-US"/>
        </w:rPr>
        <w:t xml:space="preserve"> p. 24, No. 62, “ Futheṛī </w:t>
      </w:r>
      <w:r>
        <w:rPr>
          <w:spacing w:val="0"/>
          <w:w w:val="100"/>
          <w:position w:val="0"/>
          <w:shd w:val="clear" w:color="auto" w:fill="auto"/>
          <w:lang w:val="de-DE" w:eastAsia="de-DE" w:bidi="de-DE"/>
        </w:rPr>
        <w:t xml:space="preserve">oder </w:t>
      </w:r>
      <w:r>
        <w:rPr>
          <w:spacing w:val="0"/>
          <w:w w:val="100"/>
          <w:position w:val="0"/>
          <w:shd w:val="clear" w:color="auto" w:fill="auto"/>
          <w:lang w:val="en-US" w:eastAsia="en-US" w:bidi="en-US"/>
        </w:rPr>
        <w:t>Fubrī.”</w:t>
      </w:r>
    </w:p>
    <w:p>
      <w:pPr>
        <w:pStyle w:val="Style10"/>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lang w:val="el-GR" w:eastAsia="el-GR" w:bidi="el-GR"/>
        </w:rPr>
        <w:t xml:space="preserve">η </w:t>
      </w:r>
      <w:r>
        <w:rPr>
          <w:spacing w:val="0"/>
          <w:w w:val="100"/>
          <w:position w:val="0"/>
          <w:shd w:val="clear" w:color="auto" w:fill="auto"/>
          <w:lang w:val="en-US" w:eastAsia="en-US" w:bidi="en-US"/>
        </w:rPr>
        <w:t xml:space="preserve">All “hypocrisy" in the eyes of Assemani,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2 ; </w:t>
      </w:r>
      <w:r>
        <w:rPr>
          <w:spacing w:val="0"/>
          <w:w w:val="100"/>
          <w:position w:val="0"/>
          <w:shd w:val="clear" w:color="auto" w:fill="auto"/>
          <w:lang w:val="la-001" w:eastAsia="la-001" w:bidi="la-001"/>
        </w:rPr>
        <w:t xml:space="preserve">“scelestissimus </w:t>
      </w:r>
      <w:r>
        <w:rPr>
          <w:spacing w:val="0"/>
          <w:w w:val="100"/>
          <w:position w:val="0"/>
          <w:shd w:val="clear" w:color="auto" w:fill="auto"/>
          <w:lang w:val="en-US" w:eastAsia="en-US" w:bidi="en-US"/>
        </w:rPr>
        <w:t>pseudo-monachus,” p. 9.</w:t>
      </w:r>
    </w:p>
    <w:p>
      <w:pPr>
        <w:pStyle w:val="Style10"/>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i2</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Ecdes.,</w:t>
      </w:r>
      <w:r>
        <w:rPr>
          <w:spacing w:val="0"/>
          <w:w w:val="100"/>
          <w:position w:val="0"/>
          <w:shd w:val="clear" w:color="auto" w:fill="auto"/>
          <w:lang w:val="en-US" w:eastAsia="en-US" w:bidi="en-US"/>
        </w:rPr>
        <w:t xml:space="preserve"> i. 161-165; Hoffmann, </w:t>
      </w:r>
      <w:r>
        <w:rPr>
          <w:i/>
          <w:iCs/>
          <w:spacing w:val="0"/>
          <w:w w:val="100"/>
          <w:position w:val="0"/>
          <w:shd w:val="clear" w:color="auto" w:fill="auto"/>
          <w:lang w:val="en-US" w:eastAsia="en-US" w:bidi="en-US"/>
        </w:rPr>
        <w:t xml:space="preserve">Perhandl. d. </w:t>
      </w:r>
      <w:r>
        <w:rPr>
          <w:i/>
          <w:iCs/>
          <w:spacing w:val="0"/>
          <w:w w:val="100"/>
          <w:position w:val="0"/>
          <w:shd w:val="clear" w:color="auto" w:fill="auto"/>
          <w:lang w:val="de-DE" w:eastAsia="de-DE" w:bidi="de-DE"/>
        </w:rPr>
        <w:t>Kirchenver</w:t>
        <w:softHyphen/>
        <w:t xml:space="preserve">sammlung zu </w:t>
      </w:r>
      <w:r>
        <w:rPr>
          <w:i/>
          <w:iCs/>
          <w:spacing w:val="0"/>
          <w:w w:val="100"/>
          <w:position w:val="0"/>
          <w:shd w:val="clear" w:color="auto" w:fill="auto"/>
          <w:lang w:val="en-US" w:eastAsia="en-US" w:bidi="en-US"/>
        </w:rPr>
        <w:t>Ephesus,</w:t>
      </w:r>
      <w:r>
        <w:rPr>
          <w:spacing w:val="0"/>
          <w:w w:val="100"/>
          <w:position w:val="0"/>
          <w:shd w:val="clear" w:color="auto" w:fill="auto"/>
          <w:lang w:val="en-US" w:eastAsia="en-US" w:bidi="en-US"/>
        </w:rPr>
        <w:t xml:space="preserve"> &amp;c., p. 4,1. 39. </w:t>
      </w:r>
    </w:p>
    <w:p>
      <w:pPr>
        <w:pStyle w:val="Style10"/>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@@@13 </w:t>
      </w:r>
      <w:r>
        <w:rPr>
          <w:spacing w:val="0"/>
          <w:w w:val="100"/>
          <w:position w:val="0"/>
          <w:shd w:val="clear" w:color="auto" w:fill="auto"/>
          <w:lang w:val="fr-FR" w:eastAsia="fr-FR" w:bidi="fr-FR"/>
        </w:rPr>
        <w:t>Bar-Hebræus,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loc.cit.,</w:t>
      </w:r>
      <w:r>
        <w:rPr>
          <w:spacing w:val="0"/>
          <w:w w:val="100"/>
          <w:position w:val="0"/>
          <w:shd w:val="clear" w:color="auto" w:fill="auto"/>
          <w:lang w:val="en-US" w:eastAsia="en-US" w:bidi="en-US"/>
        </w:rPr>
        <w:t xml:space="preserve"> 179. </w:t>
      </w:r>
    </w:p>
    <w:p>
      <w:pPr>
        <w:pStyle w:val="Style10"/>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14</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181.</w:t>
      </w:r>
    </w:p>
    <w:p>
      <w:pPr>
        <w:pStyle w:val="Style10"/>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IS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296, also p. cxlviii. No. 3 ;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1123.</w:t>
      </w:r>
    </w:p>
    <w:p>
      <w:pPr>
        <w:pStyle w:val="Style10"/>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9; comp.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175, col. 2, No. 3, and p. 311, No. ccclxxxvii.</w:t>
      </w:r>
    </w:p>
    <w:p>
      <w:pPr>
        <w:pStyle w:val="Style10"/>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17</w:t>
      </w:r>
      <w:r>
        <w:rPr>
          <w:i/>
          <w:iCs/>
          <w:spacing w:val="0"/>
          <w:w w:val="100"/>
          <w:position w:val="0"/>
          <w:shd w:val="clear" w:color="auto" w:fill="auto"/>
          <w:lang w:val="en-US" w:eastAsia="en-US" w:bidi="en-US"/>
        </w:rPr>
        <w:t xml:space="preserve"> B.Ο.,</w:t>
      </w:r>
      <w:r>
        <w:rPr>
          <w:spacing w:val="0"/>
          <w:w w:val="100"/>
          <w:position w:val="0"/>
          <w:shd w:val="clear" w:color="auto" w:fill="auto"/>
          <w:lang w:val="en-US" w:eastAsia="en-US" w:bidi="en-US"/>
        </w:rPr>
        <w:t xml:space="preserve"> i. 283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 Matagne, in </w:t>
      </w:r>
      <w:r>
        <w:rPr>
          <w:i/>
          <w:iCs/>
          <w:spacing w:val="0"/>
          <w:w w:val="100"/>
          <w:position w:val="0"/>
          <w:shd w:val="clear" w:color="auto" w:fill="auto"/>
          <w:lang w:val="en-US" w:eastAsia="en-US" w:bidi="en-US"/>
        </w:rPr>
        <w:t>Acta Sanctorum,</w:t>
      </w:r>
      <w:r>
        <w:rPr>
          <w:spacing w:val="0"/>
          <w:w w:val="100"/>
          <w:position w:val="0"/>
          <w:shd w:val="clear" w:color="auto" w:fill="auto"/>
          <w:lang w:val="en-US" w:eastAsia="en-US" w:bidi="en-US"/>
        </w:rPr>
        <w:t xml:space="preserve"> October, vol. xii. 824, 927 ; </w:t>
      </w:r>
      <w:r>
        <w:rPr>
          <w:spacing w:val="0"/>
          <w:w w:val="100"/>
          <w:position w:val="0"/>
          <w:shd w:val="clear" w:color="auto" w:fill="auto"/>
          <w:lang w:val="fr-FR" w:eastAsia="fr-FR" w:bidi="fr-FR"/>
        </w:rPr>
        <w:t xml:space="preserve">Abbeloos, </w:t>
      </w:r>
      <w:r>
        <w:rPr>
          <w:spacing w:val="0"/>
          <w:w w:val="100"/>
          <w:position w:val="0"/>
          <w:shd w:val="clear" w:color="auto" w:fill="auto"/>
          <w:lang w:val="en-US" w:eastAsia="en-US" w:bidi="en-US"/>
        </w:rPr>
        <w:t xml:space="preserve">Be </w:t>
      </w:r>
      <w:r>
        <w:rPr>
          <w:i/>
          <w:iCs/>
          <w:spacing w:val="0"/>
          <w:w w:val="100"/>
          <w:position w:val="0"/>
          <w:shd w:val="clear" w:color="auto" w:fill="auto"/>
          <w:lang w:val="en-US" w:eastAsia="en-US" w:bidi="en-US"/>
        </w:rPr>
        <w:t xml:space="preserve">Vita </w:t>
      </w:r>
      <w:r>
        <w:rPr>
          <w:i/>
          <w:iCs/>
          <w:spacing w:val="0"/>
          <w:w w:val="100"/>
          <w:position w:val="0"/>
          <w:shd w:val="clear" w:color="auto" w:fill="auto"/>
          <w:lang w:val="la-001" w:eastAsia="la-001" w:bidi="la-001"/>
        </w:rPr>
        <w:t xml:space="preserve">et Scriptis </w:t>
      </w:r>
      <w:r>
        <w:rPr>
          <w:i/>
          <w:iCs/>
          <w:spacing w:val="0"/>
          <w:w w:val="100"/>
          <w:position w:val="0"/>
          <w:shd w:val="clear" w:color="auto" w:fill="auto"/>
          <w:lang w:val="en-US" w:eastAsia="en-US" w:bidi="en-US"/>
        </w:rPr>
        <w:t xml:space="preserve">S. Jacobi Batnarum Sarugi in Mesopotamia epi, </w:t>
      </w:r>
      <w:r>
        <w:rPr>
          <w:spacing w:val="0"/>
          <w:w w:val="100"/>
          <w:position w:val="0"/>
          <w:shd w:val="clear" w:color="auto" w:fill="auto"/>
          <w:lang w:val="en-US" w:eastAsia="en-US" w:bidi="en-US"/>
        </w:rPr>
        <w:t xml:space="preserve">1867 ; Bickell, </w:t>
      </w:r>
      <w:r>
        <w:rPr>
          <w:i/>
          <w:iCs/>
          <w:spacing w:val="0"/>
          <w:w w:val="100"/>
          <w:position w:val="0"/>
          <w:shd w:val="clear" w:color="auto" w:fill="auto"/>
          <w:lang w:val="en-US" w:eastAsia="en-US" w:bidi="en-US"/>
        </w:rPr>
        <w:t>Conspectus,</w:t>
      </w:r>
      <w:r>
        <w:rPr>
          <w:spacing w:val="0"/>
          <w:w w:val="100"/>
          <w:position w:val="0"/>
          <w:shd w:val="clear" w:color="auto" w:fill="auto"/>
          <w:lang w:val="en-US" w:eastAsia="en-US" w:bidi="en-US"/>
        </w:rPr>
        <w:t xml:space="preserve"> p. 25 ; Bickell in Thalhofer, </w:t>
      </w:r>
      <w:r>
        <w:rPr>
          <w:i/>
          <w:iCs/>
          <w:spacing w:val="0"/>
          <w:w w:val="100"/>
          <w:position w:val="0"/>
          <w:shd w:val="clear" w:color="auto" w:fill="auto"/>
          <w:lang w:val="en-US" w:eastAsia="en-US" w:bidi="en-US"/>
        </w:rPr>
        <w:t xml:space="preserve">Bibl. d. </w:t>
      </w:r>
      <w:r>
        <w:rPr>
          <w:i/>
          <w:iCs/>
          <w:spacing w:val="0"/>
          <w:w w:val="100"/>
          <w:position w:val="0"/>
          <w:shd w:val="clear" w:color="auto" w:fill="auto"/>
          <w:lang w:val="de-DE" w:eastAsia="de-DE" w:bidi="de-DE"/>
        </w:rPr>
        <w:t>Kirchenväter,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58 ; Martin, “ </w:t>
      </w:r>
      <w:r>
        <w:rPr>
          <w:spacing w:val="0"/>
          <w:w w:val="100"/>
          <w:position w:val="0"/>
          <w:shd w:val="clear" w:color="auto" w:fill="auto"/>
          <w:lang w:val="fr-FR" w:eastAsia="fr-FR" w:bidi="fr-FR"/>
        </w:rPr>
        <w:t xml:space="preserve">Lettres de </w:t>
      </w:r>
      <w:r>
        <w:rPr>
          <w:spacing w:val="0"/>
          <w:w w:val="100"/>
          <w:position w:val="0"/>
          <w:shd w:val="clear" w:color="auto" w:fill="auto"/>
          <w:lang w:val="en-US" w:eastAsia="en-US" w:bidi="en-US"/>
        </w:rPr>
        <w:t xml:space="preserve">Jacques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Saroug </w:t>
      </w:r>
      <w:r>
        <w:rPr>
          <w:spacing w:val="0"/>
          <w:w w:val="100"/>
          <w:position w:val="0"/>
          <w:shd w:val="clear" w:color="auto" w:fill="auto"/>
          <w:lang w:val="fr-FR" w:eastAsia="fr-FR" w:bidi="fr-FR"/>
        </w:rPr>
        <w:t xml:space="preserve">aux </w:t>
      </w:r>
      <w:r>
        <w:rPr>
          <w:spacing w:val="0"/>
          <w:w w:val="100"/>
          <w:position w:val="0"/>
          <w:shd w:val="clear" w:color="auto" w:fill="auto"/>
          <w:lang w:val="en-US" w:eastAsia="en-US" w:bidi="en-US"/>
        </w:rPr>
        <w:t xml:space="preserve">Moines </w:t>
      </w:r>
      <w:r>
        <w:rPr>
          <w:spacing w:val="0"/>
          <w:w w:val="100"/>
          <w:position w:val="0"/>
          <w:shd w:val="clear" w:color="auto" w:fill="auto"/>
          <w:lang w:val="fr-FR" w:eastAsia="fr-FR" w:bidi="fr-FR"/>
        </w:rPr>
        <w:t xml:space="preserve">du Couvent de Mar </w:t>
      </w:r>
      <w:r>
        <w:rPr>
          <w:spacing w:val="0"/>
          <w:w w:val="100"/>
          <w:position w:val="0"/>
          <w:shd w:val="clear" w:color="auto" w:fill="auto"/>
          <w:lang w:val="la-001" w:eastAsia="la-001" w:bidi="la-001"/>
        </w:rPr>
        <w:t xml:space="preserve">Bassus, </w:t>
      </w:r>
      <w:r>
        <w:rPr>
          <w:spacing w:val="0"/>
          <w:w w:val="100"/>
          <w:position w:val="0"/>
          <w:shd w:val="clear" w:color="auto" w:fill="auto"/>
          <w:lang w:val="fr-FR" w:eastAsia="fr-FR" w:bidi="fr-FR"/>
        </w:rPr>
        <w:t xml:space="preserve">et à Paul d’Édesse,”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xxx. </w:t>
      </w:r>
      <w:r>
        <w:rPr>
          <w:spacing w:val="0"/>
          <w:w w:val="100"/>
          <w:position w:val="0"/>
          <w:shd w:val="clear" w:color="auto" w:fill="auto"/>
          <w:lang w:val="en-US" w:eastAsia="en-US" w:bidi="en-US"/>
        </w:rPr>
        <w:t xml:space="preserve">(1876),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217.</w:t>
      </w:r>
    </w:p>
    <w:p>
      <w:pPr>
        <w:pStyle w:val="Style10"/>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@@@18 </w:t>
      </w:r>
      <w:r>
        <w:rPr>
          <w:i/>
          <w:iCs/>
          <w:spacing w:val="0"/>
          <w:w w:val="100"/>
          <w:position w:val="0"/>
          <w:shd w:val="clear" w:color="auto" w:fill="auto"/>
          <w:lang w:val="el-GR" w:eastAsia="el-GR" w:bidi="el-GR"/>
        </w:rPr>
        <w:t>Β.Ο.,</w:t>
      </w:r>
      <w:r>
        <w:rPr>
          <w:spacing w:val="0"/>
          <w:w w:val="100"/>
          <w:position w:val="0"/>
          <w:shd w:val="clear" w:color="auto" w:fill="auto"/>
          <w:lang w:val="el-GR" w:eastAsia="el-GR" w:bidi="el-GR"/>
        </w:rPr>
        <w:t xml:space="preserve"> </w:t>
      </w:r>
      <w:r>
        <w:rPr>
          <w:spacing w:val="0"/>
          <w:w w:val="100"/>
          <w:position w:val="0"/>
          <w:shd w:val="clear" w:color="auto" w:fill="auto"/>
          <w:lang w:val="fr-FR" w:eastAsia="fr-FR" w:bidi="fr-FR"/>
        </w:rPr>
        <w:t xml:space="preserve">i. </w:t>
      </w:r>
      <w:r>
        <w:rPr>
          <w:spacing w:val="0"/>
          <w:w w:val="100"/>
          <w:position w:val="0"/>
          <w:shd w:val="clear" w:color="auto" w:fill="auto"/>
          <w:lang w:val="en-US" w:eastAsia="en-US" w:bidi="en-US"/>
        </w:rPr>
        <w:t xml:space="preserve">286, 299; </w:t>
      </w:r>
      <w:r>
        <w:rPr>
          <w:spacing w:val="0"/>
          <w:w w:val="100"/>
          <w:position w:val="0"/>
          <w:shd w:val="clear" w:color="auto" w:fill="auto"/>
          <w:lang w:val="fr-FR" w:eastAsia="fr-FR" w:bidi="fr-FR"/>
        </w:rPr>
        <w:t xml:space="preserve">Martin, </w:t>
      </w:r>
      <w:r>
        <w:rPr>
          <w:spacing w:val="0"/>
          <w:w w:val="100"/>
          <w:position w:val="0"/>
          <w:shd w:val="clear" w:color="auto" w:fill="auto"/>
          <w:lang w:val="en-US" w:eastAsia="en-US" w:bidi="en-US"/>
        </w:rPr>
        <w:t xml:space="preserve">in </w:t>
      </w:r>
      <w:r>
        <w:rPr>
          <w:i/>
          <w:iCs/>
          <w:spacing w:val="0"/>
          <w:w w:val="100"/>
          <w:position w:val="0"/>
          <w:shd w:val="clear" w:color="auto" w:fill="auto"/>
          <w:lang w:val="fr-FR" w:eastAsia="fr-FR" w:bidi="fr-FR"/>
        </w:rPr>
        <w:t>Z.D.M.G.,</w:t>
      </w:r>
      <w:r>
        <w:rPr>
          <w:spacing w:val="0"/>
          <w:w w:val="100"/>
          <w:position w:val="0"/>
          <w:shd w:val="clear" w:color="auto" w:fill="auto"/>
          <w:lang w:val="fr-FR" w:eastAsia="fr-FR" w:bidi="fr-FR"/>
        </w:rPr>
        <w:t xml:space="preserve"> xxx. p. </w:t>
      </w:r>
      <w:r>
        <w:rPr>
          <w:spacing w:val="0"/>
          <w:w w:val="100"/>
          <w:position w:val="0"/>
          <w:shd w:val="clear" w:color="auto" w:fill="auto"/>
          <w:lang w:val="en-US" w:eastAsia="en-US" w:bidi="en-US"/>
        </w:rPr>
        <w:t xml:space="preserve">217, </w:t>
      </w:r>
      <w:r>
        <w:rPr>
          <w:spacing w:val="0"/>
          <w:w w:val="100"/>
          <w:position w:val="0"/>
          <w:shd w:val="clear" w:color="auto" w:fill="auto"/>
          <w:lang w:val="fr-FR" w:eastAsia="fr-FR" w:bidi="fr-FR"/>
        </w:rPr>
        <w:t xml:space="preserve">note </w:t>
      </w:r>
      <w:r>
        <w:rPr>
          <w:spacing w:val="0"/>
          <w:w w:val="100"/>
          <w:position w:val="0"/>
          <w:shd w:val="clear" w:color="auto" w:fill="auto"/>
          <w:lang w:val="en-US" w:eastAsia="en-US" w:bidi="en-US"/>
        </w:rPr>
        <w:t>3.</w:t>
      </w:r>
    </w:p>
    <w:p>
      <w:pPr>
        <w:pStyle w:val="Style10"/>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@@@18 </w:t>
      </w:r>
      <w:r>
        <w:rPr>
          <w:spacing w:val="0"/>
          <w:w w:val="100"/>
          <w:position w:val="0"/>
          <w:shd w:val="clear" w:color="auto" w:fill="auto"/>
          <w:lang w:val="fr-FR" w:eastAsia="fr-FR" w:bidi="fr-FR"/>
        </w:rPr>
        <w:t xml:space="preserve">Abbeloos, </w:t>
      </w:r>
      <w:r>
        <w:rPr>
          <w:i/>
          <w:iCs/>
          <w:spacing w:val="0"/>
          <w:w w:val="100"/>
          <w:position w:val="0"/>
          <w:shd w:val="clear" w:color="auto" w:fill="auto"/>
          <w:lang w:val="en-US" w:eastAsia="en-US" w:bidi="en-US"/>
        </w:rPr>
        <w:t xml:space="preserve">op. </w:t>
      </w:r>
      <w:r>
        <w:rPr>
          <w:i/>
          <w:iCs/>
          <w:spacing w:val="0"/>
          <w:w w:val="100"/>
          <w:position w:val="0"/>
          <w:shd w:val="clear" w:color="auto" w:fill="auto"/>
          <w:lang w:val="fr-FR" w:eastAsia="fr-FR" w:bidi="fr-FR"/>
        </w:rPr>
        <w:t>cit.,</w:t>
      </w:r>
      <w:r>
        <w:rPr>
          <w:spacing w:val="0"/>
          <w:w w:val="100"/>
          <w:position w:val="0"/>
          <w:shd w:val="clear" w:color="auto" w:fill="auto"/>
          <w:lang w:val="fr-FR" w:eastAsia="fr-FR" w:bidi="fr-FR"/>
        </w:rPr>
        <w:t xml:space="preserve"> p. </w:t>
      </w:r>
      <w:r>
        <w:rPr>
          <w:spacing w:val="0"/>
          <w:w w:val="100"/>
          <w:position w:val="0"/>
          <w:shd w:val="clear" w:color="auto" w:fill="auto"/>
          <w:lang w:val="en-US" w:eastAsia="en-US" w:bidi="en-US"/>
        </w:rPr>
        <w:t>311.</w:t>
      </w:r>
    </w:p>
    <w:p>
      <w:pPr>
        <w:pStyle w:val="Style10"/>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See </w:t>
      </w:r>
      <w:r>
        <w:rPr>
          <w:spacing w:val="0"/>
          <w:w w:val="100"/>
          <w:position w:val="0"/>
          <w:shd w:val="clear" w:color="auto" w:fill="auto"/>
          <w:lang w:val="fr-FR" w:eastAsia="fr-FR" w:bidi="fr-FR"/>
        </w:rPr>
        <w:t xml:space="preserve">Wright, </w:t>
      </w:r>
      <w:r>
        <w:rPr>
          <w:i/>
          <w:iCs/>
          <w:spacing w:val="0"/>
          <w:w w:val="100"/>
          <w:position w:val="0"/>
          <w:shd w:val="clear" w:color="auto" w:fill="auto"/>
          <w:lang w:val="fr-FR" w:eastAsia="fr-FR" w:bidi="fr-FR"/>
        </w:rPr>
        <w:t>Catal.,</w:t>
      </w:r>
      <w:r>
        <w:rPr>
          <w:spacing w:val="0"/>
          <w:w w:val="100"/>
          <w:position w:val="0"/>
          <w:shd w:val="clear" w:color="auto" w:fill="auto"/>
          <w:lang w:val="fr-FR" w:eastAsia="fr-FR" w:bidi="fr-FR"/>
        </w:rPr>
        <w:t xml:space="preserve"> p. </w:t>
      </w:r>
      <w:r>
        <w:rPr>
          <w:spacing w:val="0"/>
          <w:w w:val="100"/>
          <w:position w:val="0"/>
          <w:shd w:val="clear" w:color="auto" w:fill="auto"/>
          <w:lang w:val="en-US" w:eastAsia="en-US" w:bidi="en-US"/>
        </w:rPr>
        <w:t xml:space="preserve">311, No. </w:t>
      </w:r>
      <w:r>
        <w:rPr>
          <w:spacing w:val="0"/>
          <w:w w:val="100"/>
          <w:position w:val="0"/>
          <w:shd w:val="clear" w:color="auto" w:fill="auto"/>
          <w:lang w:val="fr-FR" w:eastAsia="fr-FR" w:bidi="fr-FR"/>
        </w:rPr>
        <w:t xml:space="preserve">ccclxxxix. </w:t>
      </w:r>
      <w:r>
        <w:rPr>
          <w:spacing w:val="0"/>
          <w:w w:val="100"/>
          <w:position w:val="0"/>
          <w:shd w:val="clear" w:color="auto" w:fill="auto"/>
          <w:lang w:val="en-US" w:eastAsia="en-US" w:bidi="en-US"/>
        </w:rPr>
        <w:t>The Armenians hold it on 25th September, the Jacobites on 29th June, 29th July, and 29th October.</w:t>
      </w:r>
    </w:p>
    <w:p>
      <w:pPr>
        <w:pStyle w:val="Style10"/>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@@@21 </w:t>
      </w:r>
      <w:r>
        <w:rPr>
          <w:spacing w:val="0"/>
          <w:w w:val="100"/>
          <w:position w:val="0"/>
          <w:shd w:val="clear" w:color="auto" w:fill="auto"/>
          <w:lang w:val="fr-FR" w:eastAsia="fr-FR" w:bidi="fr-FR"/>
        </w:rPr>
        <w:t xml:space="preserve">Abbeloos,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24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286, 340.</w:t>
      </w:r>
    </w:p>
    <w:p>
      <w:pPr>
        <w:pStyle w:val="Style10"/>
        <w:keepNext w:val="0"/>
        <w:keepLines w:val="0"/>
        <w:widowControl w:val="0"/>
        <w:shd w:val="clear" w:color="auto" w:fill="auto"/>
        <w:tabs>
          <w:tab w:pos="2856" w:val="left"/>
        </w:tabs>
        <w:bidi w:val="0"/>
        <w:spacing w:line="192" w:lineRule="auto"/>
        <w:ind w:left="0" w:firstLine="360"/>
        <w:jc w:val="left"/>
      </w:pPr>
      <w:r>
        <w:rPr>
          <w:spacing w:val="0"/>
          <w:w w:val="100"/>
          <w:position w:val="0"/>
          <w:shd w:val="clear" w:color="auto" w:fill="auto"/>
          <w:lang w:val="en-US" w:eastAsia="en-US" w:bidi="en-US"/>
        </w:rPr>
        <w:t xml:space="preserve">@@@22 See Bickell in Thalhofer, </w:t>
      </w:r>
      <w:r>
        <w:rPr>
          <w:i/>
          <w:iCs/>
          <w:spacing w:val="0"/>
          <w:w w:val="100"/>
          <w:position w:val="0"/>
          <w:shd w:val="clear" w:color="auto" w:fill="auto"/>
          <w:lang w:val="en-US" w:eastAsia="en-US" w:bidi="en-US"/>
        </w:rPr>
        <w:t>Bibl.,</w:t>
      </w:r>
      <w:r>
        <w:rPr>
          <w:spacing w:val="0"/>
          <w:w w:val="100"/>
          <w:position w:val="0"/>
          <w:shd w:val="clear" w:color="auto" w:fill="auto"/>
          <w:lang w:val="en-US" w:eastAsia="en-US" w:bidi="en-US"/>
        </w:rPr>
        <w:t xml:space="preserve"> 58, p. 198.</w:t>
        <w:tab/>
      </w:r>
    </w:p>
    <w:p>
      <w:pPr>
        <w:pStyle w:val="Style10"/>
        <w:keepNext w:val="0"/>
        <w:keepLines w:val="0"/>
        <w:widowControl w:val="0"/>
        <w:shd w:val="clear" w:color="auto" w:fill="auto"/>
        <w:tabs>
          <w:tab w:pos="2856" w:val="left"/>
        </w:tabs>
        <w:bidi w:val="0"/>
        <w:spacing w:line="192" w:lineRule="auto"/>
        <w:ind w:left="0" w:firstLine="360"/>
        <w:jc w:val="left"/>
      </w:pPr>
      <w:r>
        <w:rPr>
          <w:spacing w:val="0"/>
          <w:w w:val="100"/>
          <w:position w:val="0"/>
          <w:shd w:val="clear" w:color="auto" w:fill="auto"/>
          <w:lang w:val="en-US" w:eastAsia="en-US" w:bidi="en-US"/>
        </w:rPr>
        <w:t xml:space="preserve">@@@23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520, Nos.15,16. </w:t>
      </w:r>
    </w:p>
    <w:p>
      <w:pPr>
        <w:pStyle w:val="Style10"/>
        <w:keepNext w:val="0"/>
        <w:keepLines w:val="0"/>
        <w:widowControl w:val="0"/>
        <w:shd w:val="clear" w:color="auto" w:fill="auto"/>
        <w:tabs>
          <w:tab w:pos="2856" w:val="left"/>
        </w:tabs>
        <w:bidi w:val="0"/>
        <w:spacing w:line="192" w:lineRule="auto"/>
        <w:ind w:left="0" w:firstLine="360"/>
        <w:jc w:val="left"/>
      </w:pPr>
      <w:r>
        <w:rPr>
          <w:spacing w:val="0"/>
          <w:w w:val="100"/>
          <w:position w:val="0"/>
          <w:shd w:val="clear" w:color="auto" w:fill="auto"/>
          <w:lang w:val="en-US" w:eastAsia="en-US" w:bidi="en-US"/>
        </w:rPr>
        <w:t xml:space="preserve">@@@24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ed. Wright, ch. liv. Joshua wrote in 507. </w:t>
      </w:r>
    </w:p>
    <w:p>
      <w:pPr>
        <w:pStyle w:val="Style10"/>
        <w:keepNext w:val="0"/>
        <w:keepLines w:val="0"/>
        <w:widowControl w:val="0"/>
        <w:shd w:val="clear" w:color="auto" w:fill="auto"/>
        <w:tabs>
          <w:tab w:pos="2696" w:val="left"/>
        </w:tabs>
        <w:bidi w:val="0"/>
        <w:spacing w:line="192" w:lineRule="auto"/>
        <w:ind w:left="0" w:firstLine="360"/>
        <w:jc w:val="left"/>
      </w:pPr>
      <w:r>
        <w:rPr>
          <w:spacing w:val="0"/>
          <w:w w:val="100"/>
          <w:position w:val="0"/>
          <w:shd w:val="clear" w:color="auto" w:fill="auto"/>
          <w:lang w:val="en-US" w:eastAsia="en-US" w:bidi="en-US"/>
        </w:rPr>
        <w:t xml:space="preserve">@@@25 </w:t>
      </w:r>
      <w:r>
        <w:rPr>
          <w:rFonts w:ascii="Arial" w:eastAsia="Arial" w:hAnsi="Arial" w:cs="Arial"/>
          <w:i/>
          <w:iCs/>
          <w:spacing w:val="0"/>
          <w:w w:val="100"/>
          <w:position w:val="0"/>
          <w:sz w:val="14"/>
          <w:szCs w:val="14"/>
          <w:shd w:val="clear" w:color="auto" w:fill="auto"/>
          <w:lang w:val="en-US" w:eastAsia="en-US" w:bidi="en-US"/>
        </w:rPr>
        <w:t>β.o.,</w:t>
      </w:r>
      <w:r>
        <w:rPr>
          <w:spacing w:val="0"/>
          <w:w w:val="100"/>
          <w:position w:val="0"/>
          <w:shd w:val="clear" w:color="auto" w:fill="auto"/>
          <w:lang w:val="en-US" w:eastAsia="en-US" w:bidi="en-US"/>
        </w:rPr>
        <w:t xml:space="preserve"> i. 300-305.</w:t>
      </w:r>
    </w:p>
    <w:p>
      <w:pPr>
        <w:pStyle w:val="Style10"/>
        <w:keepNext w:val="0"/>
        <w:keepLines w:val="0"/>
        <w:widowControl w:val="0"/>
        <w:shd w:val="clear" w:color="auto" w:fill="auto"/>
        <w:tabs>
          <w:tab w:pos="2856" w:val="left"/>
        </w:tabs>
        <w:bidi w:val="0"/>
        <w:spacing w:line="192" w:lineRule="auto"/>
        <w:ind w:left="0" w:firstLine="360"/>
        <w:jc w:val="left"/>
      </w:pPr>
      <w:r>
        <w:rPr>
          <w:spacing w:val="0"/>
          <w:w w:val="100"/>
          <w:position w:val="0"/>
          <w:shd w:val="clear" w:color="auto" w:fill="auto"/>
          <w:lang w:val="en-US" w:eastAsia="en-US" w:bidi="en-US"/>
        </w:rPr>
        <w:t xml:space="preserve">@@@26 </w:t>
      </w:r>
      <w:r>
        <w:rPr>
          <w:i/>
          <w:iCs/>
          <w:spacing w:val="0"/>
          <w:w w:val="100"/>
          <w:position w:val="0"/>
          <w:shd w:val="clear" w:color="auto" w:fill="auto"/>
          <w:lang w:val="en-US" w:eastAsia="en-US" w:bidi="en-US"/>
        </w:rPr>
        <w:t xml:space="preserve">Liturgg. Orientt. </w:t>
      </w:r>
      <w:r>
        <w:rPr>
          <w:i/>
          <w:iCs/>
          <w:spacing w:val="0"/>
          <w:w w:val="100"/>
          <w:position w:val="0"/>
          <w:shd w:val="clear" w:color="auto" w:fill="auto"/>
          <w:lang w:val="la-001" w:eastAsia="la-001" w:bidi="la-001"/>
        </w:rPr>
        <w:t>Collectio,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ii. 356. </w:t>
      </w:r>
    </w:p>
    <w:p>
      <w:pPr>
        <w:pStyle w:val="Style10"/>
        <w:keepNext w:val="0"/>
        <w:keepLines w:val="0"/>
        <w:widowControl w:val="0"/>
        <w:shd w:val="clear" w:color="auto" w:fill="auto"/>
        <w:tabs>
          <w:tab w:pos="2856" w:val="left"/>
        </w:tabs>
        <w:bidi w:val="0"/>
        <w:spacing w:line="192" w:lineRule="auto"/>
        <w:ind w:left="0" w:firstLine="360"/>
        <w:jc w:val="left"/>
      </w:pPr>
      <w:r>
        <w:rPr>
          <w:spacing w:val="0"/>
          <w:w w:val="100"/>
          <w:position w:val="0"/>
          <w:shd w:val="clear" w:color="auto" w:fill="auto"/>
          <w:lang w:val="en-US" w:eastAsia="en-US" w:bidi="en-US"/>
        </w:rPr>
        <w:t xml:space="preserve">@@@27 </w:t>
      </w:r>
      <w:r>
        <w:rPr>
          <w:i/>
          <w:iCs/>
          <w:spacing w:val="0"/>
          <w:w w:val="100"/>
          <w:position w:val="0"/>
          <w:shd w:val="clear" w:color="auto" w:fill="auto"/>
          <w:lang w:val="en-US" w:eastAsia="en-US" w:bidi="en-US"/>
        </w:rPr>
        <w:t xml:space="preserve">Cod. Liturg. Eccl. </w:t>
      </w:r>
      <w:r>
        <w:rPr>
          <w:i/>
          <w:iCs/>
          <w:spacing w:val="0"/>
          <w:w w:val="100"/>
          <w:position w:val="0"/>
          <w:shd w:val="clear" w:color="auto" w:fill="auto"/>
          <w:lang w:val="fr-FR" w:eastAsia="fr-FR" w:bidi="fr-FR"/>
        </w:rPr>
        <w:t>Univers.,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ii. 309, iii. 184.</w:t>
      </w:r>
    </w:p>
    <w:p>
      <w:pPr>
        <w:pStyle w:val="Style10"/>
        <w:keepNext w:val="0"/>
        <w:keepLines w:val="0"/>
        <w:widowControl w:val="0"/>
        <w:shd w:val="clear" w:color="auto" w:fill="auto"/>
        <w:tabs>
          <w:tab w:pos="2696" w:val="left"/>
        </w:tabs>
        <w:bidi w:val="0"/>
        <w:spacing w:line="192" w:lineRule="auto"/>
        <w:ind w:left="0" w:firstLine="360"/>
        <w:jc w:val="left"/>
      </w:pPr>
      <w:r>
        <w:rPr>
          <w:spacing w:val="0"/>
          <w:w w:val="100"/>
          <w:position w:val="0"/>
          <w:shd w:val="clear" w:color="auto" w:fill="auto"/>
          <w:lang w:val="en-US" w:eastAsia="en-US" w:bidi="en-US"/>
        </w:rPr>
        <w:t xml:space="preserve">@@@28 </w:t>
      </w:r>
      <w:r>
        <w:rPr>
          <w:i/>
          <w:iCs/>
          <w:spacing w:val="0"/>
          <w:w w:val="100"/>
          <w:position w:val="0"/>
          <w:shd w:val="clear" w:color="auto" w:fill="auto"/>
          <w:lang w:val="en-US" w:eastAsia="en-US" w:bidi="en-US"/>
        </w:rPr>
        <w:t>Mon. Syr.,</w:t>
      </w:r>
      <w:r>
        <w:rPr>
          <w:spacing w:val="0"/>
          <w:w w:val="100"/>
          <w:position w:val="0"/>
          <w:shd w:val="clear" w:color="auto" w:fill="auto"/>
          <w:lang w:val="en-US" w:eastAsia="en-US" w:bidi="en-US"/>
        </w:rPr>
        <w:t xml:space="preserve"> i. 91.</w:t>
        <w:tab/>
      </w:r>
    </w:p>
    <w:p>
      <w:pPr>
        <w:pStyle w:val="Style10"/>
        <w:keepNext w:val="0"/>
        <w:keepLines w:val="0"/>
        <w:widowControl w:val="0"/>
        <w:shd w:val="clear" w:color="auto" w:fill="auto"/>
        <w:tabs>
          <w:tab w:pos="2856" w:val="left"/>
        </w:tabs>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29</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 xml:space="preserve">Sechs </w:t>
      </w:r>
      <w:r>
        <w:rPr>
          <w:i/>
          <w:iCs/>
          <w:spacing w:val="0"/>
          <w:w w:val="100"/>
          <w:position w:val="0"/>
          <w:shd w:val="clear" w:color="auto" w:fill="auto"/>
          <w:lang w:val="en-US" w:eastAsia="en-US" w:bidi="en-US"/>
        </w:rPr>
        <w:t xml:space="preserve">Hσmilien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h. Jacob von Sarug,</w:t>
      </w:r>
      <w:r>
        <w:rPr>
          <w:spacing w:val="0"/>
          <w:w w:val="100"/>
          <w:position w:val="0"/>
          <w:shd w:val="clear" w:color="auto" w:fill="auto"/>
          <w:lang w:val="en-US" w:eastAsia="en-US" w:bidi="en-US"/>
        </w:rPr>
        <w:t xml:space="preserve"> 1867.</w:t>
        <w:tab/>
      </w:r>
    </w:p>
    <w:p>
      <w:pPr>
        <w:pStyle w:val="Style10"/>
        <w:keepNext w:val="0"/>
        <w:keepLines w:val="0"/>
        <w:widowControl w:val="0"/>
        <w:shd w:val="clear" w:color="auto" w:fill="auto"/>
        <w:tabs>
          <w:tab w:pos="2856" w:val="left"/>
        </w:tabs>
        <w:bidi w:val="0"/>
        <w:spacing w:line="192" w:lineRule="auto"/>
        <w:ind w:left="0" w:firstLine="360"/>
        <w:jc w:val="left"/>
      </w:pPr>
      <w:r>
        <w:rPr>
          <w:spacing w:val="0"/>
          <w:w w:val="100"/>
          <w:position w:val="0"/>
          <w:shd w:val="clear" w:color="auto" w:fill="auto"/>
          <w:lang w:val="en-US" w:eastAsia="en-US" w:bidi="en-US"/>
        </w:rPr>
        <w:t>@@@30 Wright,</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p. 826, No. 16 ; comp, the Index, p. 1293, col. 1.</w:t>
        <w:tab/>
      </w:r>
    </w:p>
    <w:p>
      <w:pPr>
        <w:pStyle w:val="Style10"/>
        <w:keepNext w:val="0"/>
        <w:keepLines w:val="0"/>
        <w:widowControl w:val="0"/>
        <w:shd w:val="clear" w:color="auto" w:fill="auto"/>
        <w:tabs>
          <w:tab w:pos="3233" w:val="left"/>
        </w:tabs>
        <w:bidi w:val="0"/>
        <w:spacing w:line="192" w:lineRule="auto"/>
        <w:ind w:left="0" w:firstLine="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31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844, No. 32.</w:t>
      </w:r>
    </w:p>
    <w:p>
      <w:pPr>
        <w:pStyle w:val="Style10"/>
        <w:keepNext w:val="0"/>
        <w:keepLines w:val="0"/>
        <w:widowControl w:val="0"/>
        <w:shd w:val="clear" w:color="auto" w:fill="auto"/>
        <w:tabs>
          <w:tab w:pos="1372" w:val="left"/>
          <w:tab w:pos="3787" w:val="left"/>
        </w:tabs>
        <w:bidi w:val="0"/>
        <w:spacing w:line="192" w:lineRule="auto"/>
        <w:ind w:left="0" w:firstLine="0"/>
        <w:jc w:val="left"/>
      </w:pPr>
      <w:r>
        <w:rPr>
          <w:spacing w:val="0"/>
          <w:w w:val="100"/>
          <w:position w:val="0"/>
          <w:shd w:val="clear" w:color="auto" w:fill="auto"/>
          <w:lang w:val="en-US" w:eastAsia="en-US" w:bidi="en-US"/>
        </w:rPr>
        <w:t xml:space="preserve">@@@32 </w:t>
      </w:r>
      <w:r>
        <w:rPr>
          <w:i/>
          <w:iCs/>
          <w:spacing w:val="0"/>
          <w:w w:val="100"/>
          <w:position w:val="0"/>
          <w:shd w:val="clear" w:color="auto" w:fill="auto"/>
          <w:lang w:val="en-US" w:eastAsia="en-US" w:bidi="en-US"/>
        </w:rPr>
        <w:t>Ibid.,p.</w:t>
      </w:r>
      <w:r>
        <w:rPr>
          <w:spacing w:val="0"/>
          <w:w w:val="100"/>
          <w:position w:val="0"/>
          <w:shd w:val="clear" w:color="auto" w:fill="auto"/>
          <w:lang w:val="en-US" w:eastAsia="en-US" w:bidi="en-US"/>
        </w:rPr>
        <w:t xml:space="preserve"> 364, col. 2.</w:t>
        <w:tab/>
      </w:r>
    </w:p>
    <w:p>
      <w:pPr>
        <w:pStyle w:val="Style10"/>
        <w:keepNext w:val="0"/>
        <w:keepLines w:val="0"/>
        <w:widowControl w:val="0"/>
        <w:shd w:val="clear" w:color="auto" w:fill="auto"/>
        <w:tabs>
          <w:tab w:pos="1372" w:val="left"/>
          <w:tab w:pos="3787" w:val="left"/>
        </w:tabs>
        <w:bidi w:val="0"/>
        <w:spacing w:line="192" w:lineRule="auto"/>
        <w:ind w:left="0" w:firstLine="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33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1113, No. 14 ; p. 1126, No. 16.</w:t>
        <w:tab/>
      </w:r>
    </w:p>
    <w:p>
      <w:pPr>
        <w:pStyle w:val="Style10"/>
        <w:keepNext w:val="0"/>
        <w:keepLines w:val="0"/>
        <w:widowControl w:val="0"/>
        <w:shd w:val="clear" w:color="auto" w:fill="auto"/>
        <w:tabs>
          <w:tab w:pos="1372" w:val="left"/>
          <w:tab w:pos="3787" w:val="left"/>
        </w:tabs>
        <w:bidi w:val="0"/>
        <w:spacing w:line="192" w:lineRule="auto"/>
        <w:ind w:left="0" w:firstLine="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34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Nos. dclxxii., dclxxiii., and comp, the Index, p. 1293, col. 1.</w:t>
        <w:tab/>
      </w:r>
    </w:p>
    <w:p>
      <w:pPr>
        <w:pStyle w:val="Style10"/>
        <w:keepNext w:val="0"/>
        <w:keepLines w:val="0"/>
        <w:widowControl w:val="0"/>
        <w:shd w:val="clear" w:color="auto" w:fill="auto"/>
        <w:tabs>
          <w:tab w:pos="3290" w:val="left"/>
        </w:tabs>
        <w:bidi w:val="0"/>
        <w:spacing w:line="192" w:lineRule="auto"/>
        <w:ind w:left="0" w:firstLine="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35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602, col. 2.</w:t>
      </w:r>
    </w:p>
    <w:p>
      <w:pPr>
        <w:pStyle w:val="Style10"/>
        <w:keepNext w:val="0"/>
        <w:keepLines w:val="0"/>
        <w:widowControl w:val="0"/>
        <w:shd w:val="clear" w:color="auto" w:fill="auto"/>
        <w:tabs>
          <w:tab w:pos="326" w:val="left"/>
        </w:tabs>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36</w:t>
        <w:tab/>
      </w:r>
      <w:r>
        <w:rPr>
          <w:spacing w:val="0"/>
          <w:w w:val="100"/>
          <w:position w:val="0"/>
          <w:shd w:val="clear" w:color="auto" w:fill="auto"/>
          <w:lang w:val="en-US" w:eastAsia="en-US" w:bidi="en-US"/>
        </w:rPr>
        <w:t xml:space="preserve">See Martin,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xxx. (1S76), pp. 217-219.</w:t>
      </w:r>
    </w:p>
    <w:p>
      <w:pPr>
        <w:pStyle w:val="Style10"/>
        <w:keepNext w:val="0"/>
        <w:keepLines w:val="0"/>
        <w:widowControl w:val="0"/>
        <w:shd w:val="clear" w:color="auto" w:fill="auto"/>
        <w:tabs>
          <w:tab w:pos="277" w:val="left"/>
        </w:tabs>
        <w:bidi w:val="0"/>
        <w:spacing w:line="192" w:lineRule="auto"/>
        <w:ind w:left="0" w:firstLine="360"/>
        <w:jc w:val="left"/>
      </w:pPr>
      <w:r>
        <w:rPr>
          <w:spacing w:val="0"/>
          <w:w w:val="100"/>
          <w:position w:val="0"/>
          <w:shd w:val="clear" w:color="auto" w:fill="auto"/>
          <w:lang w:val="en-US" w:eastAsia="en-US" w:bidi="en-US"/>
        </w:rPr>
        <w:t>@@@37</w:t>
        <w:tab/>
        <w:t xml:space="preserve">See his </w:t>
      </w:r>
      <w:r>
        <w:rPr>
          <w:i/>
          <w:iCs/>
          <w:spacing w:val="0"/>
          <w:w w:val="100"/>
          <w:position w:val="0"/>
          <w:shd w:val="clear" w:color="auto" w:fill="auto"/>
          <w:lang w:val="en-US" w:eastAsia="en-US" w:bidi="en-US"/>
        </w:rPr>
        <w:t xml:space="preserve">Stephen bar Sudaili the Syrian Mystic and the Book of Hierotheos, </w:t>
      </w:r>
      <w:r>
        <w:rPr>
          <w:spacing w:val="0"/>
          <w:w w:val="100"/>
          <w:position w:val="0"/>
          <w:shd w:val="clear" w:color="auto" w:fill="auto"/>
          <w:lang w:val="en-US" w:eastAsia="en-US" w:bidi="en-US"/>
        </w:rPr>
        <w:t xml:space="preserve">Leyden, 1886, p. 10 </w:t>
      </w:r>
      <w:r>
        <w:rPr>
          <w:i/>
          <w:iCs/>
          <w:spacing w:val="0"/>
          <w:w w:val="100"/>
          <w:position w:val="0"/>
          <w:shd w:val="clear" w:color="auto" w:fill="auto"/>
          <w:lang w:val="en-US" w:eastAsia="en-US" w:bidi="en-US"/>
        </w:rPr>
        <w:t>sq.</w:t>
      </w:r>
    </w:p>
    <w:p>
      <w:pPr>
        <w:pStyle w:val="Style10"/>
        <w:keepNext w:val="0"/>
        <w:keepLines w:val="0"/>
        <w:widowControl w:val="0"/>
        <w:shd w:val="clear" w:color="auto" w:fill="auto"/>
        <w:tabs>
          <w:tab w:pos="318" w:val="left"/>
        </w:tabs>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38</w:t>
        <w:tab/>
      </w:r>
      <w:r>
        <w:rPr>
          <w:spacing w:val="0"/>
          <w:w w:val="100"/>
          <w:position w:val="0"/>
          <w:shd w:val="clear" w:color="auto" w:fill="auto"/>
          <w:lang w:val="en-US" w:eastAsia="en-US" w:bidi="en-US"/>
        </w:rPr>
        <w:t xml:space="preserve">See Guidi, </w:t>
      </w:r>
      <w:r>
        <w:rPr>
          <w:i/>
          <w:iCs/>
          <w:spacing w:val="0"/>
          <w:w w:val="100"/>
          <w:position w:val="0"/>
          <w:shd w:val="clear" w:color="auto" w:fill="auto"/>
          <w:lang w:val="en-US" w:eastAsia="en-US" w:bidi="en-US"/>
        </w:rPr>
        <w:t xml:space="preserve">La Lettera di </w:t>
      </w:r>
      <w:r>
        <w:rPr>
          <w:i/>
          <w:iCs/>
          <w:spacing w:val="0"/>
          <w:w w:val="100"/>
          <w:position w:val="0"/>
          <w:shd w:val="clear" w:color="auto" w:fill="auto"/>
          <w:lang w:val="de-DE" w:eastAsia="de-DE" w:bidi="de-DE"/>
        </w:rPr>
        <w:t xml:space="preserve">Simeone </w:t>
      </w:r>
      <w:r>
        <w:rPr>
          <w:i/>
          <w:iCs/>
          <w:spacing w:val="0"/>
          <w:w w:val="100"/>
          <w:position w:val="0"/>
          <w:shd w:val="clear" w:color="auto" w:fill="auto"/>
          <w:lang w:val="en-US" w:eastAsia="en-US" w:bidi="en-US"/>
        </w:rPr>
        <w:t xml:space="preserve">Vescovo di </w:t>
      </w:r>
      <w:r>
        <w:rPr>
          <w:i/>
          <w:iCs/>
          <w:spacing w:val="0"/>
          <w:w w:val="100"/>
          <w:position w:val="0"/>
          <w:shd w:val="clear" w:color="auto" w:fill="auto"/>
          <w:lang w:val="fr-FR" w:eastAsia="fr-FR" w:bidi="fr-FR"/>
        </w:rPr>
        <w:t xml:space="preserve">Bêth-Arsâm </w:t>
      </w:r>
      <w:r>
        <w:rPr>
          <w:i/>
          <w:iCs/>
          <w:spacing w:val="0"/>
          <w:w w:val="100"/>
          <w:position w:val="0"/>
          <w:shd w:val="clear" w:color="auto" w:fill="auto"/>
          <w:lang w:val="de-DE" w:eastAsia="de-DE" w:bidi="de-DE"/>
        </w:rPr>
        <w:t xml:space="preserve">sopra </w:t>
      </w:r>
      <w:r>
        <w:rPr>
          <w:i/>
          <w:iCs/>
          <w:spacing w:val="0"/>
          <w:w w:val="100"/>
          <w:position w:val="0"/>
          <w:shd w:val="clear" w:color="auto" w:fill="auto"/>
          <w:lang w:val="fr-FR" w:eastAsia="fr-FR" w:bidi="fr-FR"/>
        </w:rPr>
        <w:t xml:space="preserve">i </w:t>
      </w:r>
      <w:r>
        <w:rPr>
          <w:i/>
          <w:iCs/>
          <w:spacing w:val="0"/>
          <w:w w:val="100"/>
          <w:position w:val="0"/>
          <w:shd w:val="clear" w:color="auto" w:fill="auto"/>
          <w:lang w:val="en-US" w:eastAsia="en-US" w:bidi="en-US"/>
        </w:rPr>
        <w:t>Martiri Omeriti,</w:t>
      </w:r>
      <w:r>
        <w:rPr>
          <w:spacing w:val="0"/>
          <w:w w:val="100"/>
          <w:position w:val="0"/>
          <w:shd w:val="clear" w:color="auto" w:fill="auto"/>
          <w:lang w:val="en-US" w:eastAsia="en-US" w:bidi="en-US"/>
        </w:rPr>
        <w:t xml:space="preserve"> 1881, p. 11.</w:t>
        <w:tab/>
      </w:r>
    </w:p>
    <w:p>
      <w:pPr>
        <w:pStyle w:val="Style10"/>
        <w:keepNext w:val="0"/>
        <w:keepLines w:val="0"/>
        <w:widowControl w:val="0"/>
        <w:shd w:val="clear" w:color="auto" w:fill="auto"/>
        <w:tabs>
          <w:tab w:pos="1595" w:val="left"/>
          <w:tab w:pos="3452" w:val="left"/>
        </w:tabs>
        <w:bidi w:val="0"/>
        <w:spacing w:line="192" w:lineRule="auto"/>
        <w:ind w:left="0" w:firstLine="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39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191.</w:t>
        <w:tab/>
      </w:r>
    </w:p>
    <w:p>
      <w:pPr>
        <w:pStyle w:val="Style10"/>
        <w:keepNext w:val="0"/>
        <w:keepLines w:val="0"/>
        <w:widowControl w:val="0"/>
        <w:shd w:val="clear" w:color="auto" w:fill="auto"/>
        <w:tabs>
          <w:tab w:pos="1595" w:val="left"/>
          <w:tab w:pos="3452" w:val="left"/>
        </w:tabs>
        <w:bidi w:val="0"/>
        <w:spacing w:line="192" w:lineRule="auto"/>
        <w:ind w:left="0" w:firstLine="0"/>
        <w:jc w:val="left"/>
      </w:pPr>
      <w:r>
        <w:rPr>
          <w:spacing w:val="0"/>
          <w:w w:val="100"/>
          <w:position w:val="0"/>
          <w:shd w:val="clear" w:color="auto" w:fill="auto"/>
          <w:lang w:val="en-US" w:eastAsia="en-US" w:bidi="en-US"/>
        </w:rPr>
        <w:t xml:space="preserve">@@@40 Loc. </w:t>
      </w:r>
      <w:r>
        <w:rPr>
          <w:i/>
          <w:iCs/>
          <w:spacing w:val="0"/>
          <w:w w:val="100"/>
          <w:position w:val="0"/>
          <w:shd w:val="clear" w:color="auto" w:fill="auto"/>
          <w:lang w:val="en-US" w:eastAsia="en-US" w:bidi="en-US"/>
        </w:rPr>
        <w:t>cit.</w:t>
      </w:r>
    </w:p>
    <w:p>
      <w:pPr>
        <w:pStyle w:val="Style10"/>
        <w:keepNext w:val="0"/>
        <w:keepLines w:val="0"/>
        <w:widowControl w:val="0"/>
        <w:shd w:val="clear" w:color="auto" w:fill="auto"/>
        <w:tabs>
          <w:tab w:pos="277" w:val="left"/>
        </w:tabs>
        <w:bidi w:val="0"/>
        <w:spacing w:line="192" w:lineRule="auto"/>
        <w:ind w:left="0" w:firstLine="360"/>
        <w:jc w:val="left"/>
      </w:pPr>
      <w:r>
        <w:rPr>
          <w:spacing w:val="0"/>
          <w:w w:val="100"/>
          <w:position w:val="0"/>
          <w:shd w:val="clear" w:color="auto" w:fill="auto"/>
          <w:lang w:val="en-US" w:eastAsia="en-US" w:bidi="en-US"/>
        </w:rPr>
        <w:t>@@@41</w:t>
        <w:tab/>
        <w:t xml:space="preserve">Jacob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says 763, of which that on the chariot of Ezekiel was the first, and that on Mary and Golgotha the last, which he left unfinished ;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299 ; </w:t>
      </w:r>
      <w:r>
        <w:rPr>
          <w:spacing w:val="0"/>
          <w:w w:val="100"/>
          <w:position w:val="0"/>
          <w:shd w:val="clear" w:color="auto" w:fill="auto"/>
          <w:lang w:val="fr-FR" w:eastAsia="fr-FR" w:bidi="fr-FR"/>
        </w:rPr>
        <w:t xml:space="preserve">Abbeloos, </w:t>
      </w:r>
      <w:r>
        <w:rPr>
          <w:spacing w:val="0"/>
          <w:w w:val="100"/>
          <w:position w:val="0"/>
          <w:shd w:val="clear" w:color="auto" w:fill="auto"/>
          <w:lang w:val="en-US" w:eastAsia="en-US" w:bidi="en-US"/>
        </w:rPr>
        <w:t xml:space="preserve">Be </w:t>
      </w:r>
      <w:r>
        <w:rPr>
          <w:i/>
          <w:iCs/>
          <w:spacing w:val="0"/>
          <w:w w:val="100"/>
          <w:position w:val="0"/>
          <w:shd w:val="clear" w:color="auto" w:fill="auto"/>
          <w:lang w:val="en-US" w:eastAsia="en-US" w:bidi="en-US"/>
        </w:rPr>
        <w:t>Pita,</w:t>
      </w:r>
      <w:r>
        <w:rPr>
          <w:spacing w:val="0"/>
          <w:w w:val="100"/>
          <w:position w:val="0"/>
          <w:shd w:val="clear" w:color="auto" w:fill="auto"/>
          <w:lang w:val="en-US" w:eastAsia="en-US" w:bidi="en-US"/>
        </w:rPr>
        <w:t xml:space="preserve"> &amp;c., p. 312.</w:t>
      </w:r>
    </w:p>
    <w:p>
      <w:pPr>
        <w:pStyle w:val="Style10"/>
        <w:keepNext w:val="0"/>
        <w:keepLines w:val="0"/>
        <w:widowControl w:val="0"/>
        <w:shd w:val="clear" w:color="auto" w:fill="auto"/>
        <w:tabs>
          <w:tab w:pos="326" w:val="left"/>
        </w:tabs>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42</w:t>
        <w:tab/>
      </w:r>
      <w:r>
        <w:rPr>
          <w:spacing w:val="0"/>
          <w:w w:val="100"/>
          <w:position w:val="0"/>
          <w:shd w:val="clear" w:color="auto" w:fill="auto"/>
          <w:lang w:val="en-US" w:eastAsia="en-US" w:bidi="en-US"/>
        </w:rPr>
        <w:t xml:space="preserve">Comp.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305-339; </w:t>
      </w:r>
      <w:r>
        <w:rPr>
          <w:spacing w:val="0"/>
          <w:w w:val="100"/>
          <w:position w:val="0"/>
          <w:shd w:val="clear" w:color="auto" w:fill="auto"/>
          <w:lang w:val="fr-FR" w:eastAsia="fr-FR" w:bidi="fr-FR"/>
        </w:rPr>
        <w:t xml:space="preserve">Abbeloos,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pp. 106-113.</w:t>
      </w:r>
    </w:p>
    <w:p>
      <w:pPr>
        <w:pStyle w:val="Style10"/>
        <w:keepNext w:val="0"/>
        <w:keepLines w:val="0"/>
        <w:widowControl w:val="0"/>
        <w:shd w:val="clear" w:color="auto" w:fill="auto"/>
        <w:tabs>
          <w:tab w:pos="322" w:val="left"/>
        </w:tabs>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43</w:t>
        <w:tab/>
      </w:r>
      <w:r>
        <w:rPr>
          <w:spacing w:val="0"/>
          <w:w w:val="100"/>
          <w:position w:val="0"/>
          <w:shd w:val="clear" w:color="auto" w:fill="auto"/>
          <w:lang w:val="en-US" w:eastAsia="en-US" w:bidi="en-US"/>
        </w:rPr>
        <w:t xml:space="preserve">Zingerle has given extracts in the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xii., xiii., xiv., xv., and xx.,</w:t>
      </w:r>
    </w:p>
    <w:p>
      <w:pPr>
        <w:pStyle w:val="Style10"/>
        <w:keepNext w:val="0"/>
        <w:keepLines w:val="0"/>
        <w:widowControl w:val="0"/>
        <w:shd w:val="clear" w:color="auto" w:fill="auto"/>
        <w:tabs>
          <w:tab w:pos="2027" w:val="left"/>
        </w:tabs>
        <w:bidi w:val="0"/>
        <w:spacing w:line="192" w:lineRule="auto"/>
        <w:ind w:left="0" w:firstLine="0"/>
        <w:jc w:val="left"/>
      </w:pPr>
      <w:r>
        <w:rPr>
          <w:spacing w:val="0"/>
          <w:w w:val="100"/>
          <w:position w:val="0"/>
          <w:shd w:val="clear" w:color="auto" w:fill="auto"/>
          <w:lang w:val="en-US" w:eastAsia="en-US" w:bidi="en-US"/>
        </w:rPr>
        <w:t xml:space="preserve">and in his </w:t>
      </w:r>
      <w:r>
        <w:rPr>
          <w:i/>
          <w:iCs/>
          <w:spacing w:val="0"/>
          <w:w w:val="100"/>
          <w:position w:val="0"/>
          <w:shd w:val="clear" w:color="auto" w:fill="auto"/>
          <w:lang w:val="en-US" w:eastAsia="en-US" w:bidi="en-US"/>
        </w:rPr>
        <w:t>Chrest. Syr.,</w:t>
      </w:r>
      <w:r>
        <w:rPr>
          <w:spacing w:val="0"/>
          <w:w w:val="100"/>
          <w:position w:val="0"/>
          <w:shd w:val="clear" w:color="auto" w:fill="auto"/>
          <w:lang w:val="en-US" w:eastAsia="en-US" w:bidi="en-US"/>
        </w:rPr>
        <w:t xml:space="preserve"> pp. 360-386. The homily on Simeon Stylites has been published by Assemani in the </w:t>
      </w:r>
      <w:r>
        <w:rPr>
          <w:i/>
          <w:iCs/>
          <w:spacing w:val="0"/>
          <w:w w:val="100"/>
          <w:position w:val="0"/>
          <w:shd w:val="clear" w:color="auto" w:fill="auto"/>
          <w:lang w:val="en-US" w:eastAsia="en-US" w:bidi="en-US"/>
        </w:rPr>
        <w:t xml:space="preserve">Acta </w:t>
      </w:r>
      <w:r>
        <w:rPr>
          <w:i/>
          <w:iCs/>
          <w:spacing w:val="0"/>
          <w:w w:val="100"/>
          <w:position w:val="0"/>
          <w:shd w:val="clear" w:color="auto" w:fill="auto"/>
          <w:lang w:val="la-001" w:eastAsia="la-001" w:bidi="la-001"/>
        </w:rPr>
        <w:t>S. Martyrum,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ii. 230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 that on virginity, fornication, &amp;c., by </w:t>
      </w:r>
      <w:r>
        <w:rPr>
          <w:spacing w:val="0"/>
          <w:w w:val="100"/>
          <w:position w:val="0"/>
          <w:shd w:val="clear" w:color="auto" w:fill="auto"/>
          <w:lang w:val="de-DE" w:eastAsia="de-DE" w:bidi="de-DE"/>
        </w:rPr>
        <w:t xml:space="preserve">Overbeck,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Ephraemi Syri, &amp;c., Opera </w:t>
      </w:r>
      <w:r>
        <w:rPr>
          <w:i/>
          <w:iCs/>
          <w:spacing w:val="0"/>
          <w:w w:val="100"/>
          <w:position w:val="0"/>
          <w:shd w:val="clear" w:color="auto" w:fill="auto"/>
          <w:lang w:val="la-001" w:eastAsia="la-001" w:bidi="la-001"/>
        </w:rPr>
        <w:t>Selecta,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 385 </w:t>
      </w:r>
      <w:r>
        <w:rPr>
          <w:i/>
          <w:iCs/>
          <w:spacing w:val="0"/>
          <w:w w:val="100"/>
          <w:position w:val="0"/>
          <w:shd w:val="clear" w:color="auto" w:fill="auto"/>
          <w:lang w:val="en-US" w:eastAsia="en-US" w:bidi="en-US"/>
        </w:rPr>
        <w:t xml:space="preserve">sq. ; </w:t>
      </w:r>
      <w:r>
        <w:rPr>
          <w:spacing w:val="0"/>
          <w:w w:val="100"/>
          <w:position w:val="0"/>
          <w:shd w:val="clear" w:color="auto" w:fill="auto"/>
          <w:lang w:val="en-US" w:eastAsia="en-US" w:bidi="en-US"/>
        </w:rPr>
        <w:t xml:space="preserve">that on Alexander the Great (perhaps spurious) by </w:t>
      </w:r>
      <w:r>
        <w:rPr>
          <w:spacing w:val="0"/>
          <w:w w:val="100"/>
          <w:position w:val="0"/>
          <w:shd w:val="clear" w:color="auto" w:fill="auto"/>
          <w:lang w:val="de-DE" w:eastAsia="de-DE" w:bidi="de-DE"/>
        </w:rPr>
        <w:t xml:space="preserve">Knös, </w:t>
      </w:r>
      <w:r>
        <w:rPr>
          <w:i/>
          <w:iCs/>
          <w:spacing w:val="0"/>
          <w:w w:val="100"/>
          <w:position w:val="0"/>
          <w:shd w:val="clear" w:color="auto" w:fill="auto"/>
          <w:lang w:val="en-US" w:eastAsia="en-US" w:bidi="en-US"/>
        </w:rPr>
        <w:t>Chrest. Syr.,</w:t>
      </w:r>
      <w:r>
        <w:rPr>
          <w:spacing w:val="0"/>
          <w:w w:val="100"/>
          <w:position w:val="0"/>
          <w:shd w:val="clear" w:color="auto" w:fill="auto"/>
          <w:lang w:val="en-US" w:eastAsia="en-US" w:bidi="en-US"/>
        </w:rPr>
        <w:t xml:space="preserve"> 1807, p. 66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(there is a German translation by A. Weber, </w:t>
      </w:r>
      <w:r>
        <w:rPr>
          <w:i/>
          <w:iCs/>
          <w:spacing w:val="0"/>
          <w:w w:val="100"/>
          <w:position w:val="0"/>
          <w:shd w:val="clear" w:color="auto" w:fill="auto"/>
          <w:lang w:val="fr-FR" w:eastAsia="fr-FR" w:bidi="fr-FR"/>
        </w:rPr>
        <w:t xml:space="preserve">Des Môr </w:t>
      </w:r>
      <w:r>
        <w:rPr>
          <w:i/>
          <w:iCs/>
          <w:spacing w:val="0"/>
          <w:w w:val="100"/>
          <w:position w:val="0"/>
          <w:shd w:val="clear" w:color="auto" w:fill="auto"/>
          <w:lang w:val="de-DE" w:eastAsia="de-DE" w:bidi="de-DE"/>
        </w:rPr>
        <w:t>Yak</w:t>
      </w:r>
      <w:r>
        <w:rPr>
          <w:i/>
          <w:iCs/>
          <w:spacing w:val="0"/>
          <w:w w:val="100"/>
          <w:position w:val="0"/>
          <w:shd w:val="clear" w:color="auto" w:fill="auto"/>
          <w:lang w:val="en-US" w:eastAsia="en-US" w:bidi="en-US"/>
        </w:rPr>
        <w:t>ū</w:t>
      </w:r>
      <w:r>
        <w:rPr>
          <w:i/>
          <w:iCs/>
          <w:spacing w:val="0"/>
          <w:w w:val="100"/>
          <w:position w:val="0"/>
          <w:shd w:val="clear" w:color="auto" w:fill="auto"/>
          <w:lang w:val="de-DE" w:eastAsia="de-DE" w:bidi="de-DE"/>
        </w:rPr>
        <w:t>b Gedicht über den gläubigen König Alexsandr</w:t>
      </w:r>
      <w:r>
        <w:rPr>
          <w:i/>
          <w:iCs/>
          <w:spacing w:val="0"/>
          <w:w w:val="100"/>
          <w:position w:val="0"/>
          <w:shd w:val="clear" w:color="auto" w:fill="auto"/>
          <w:lang w:val="en-US" w:eastAsia="en-US" w:bidi="en-US"/>
        </w:rPr>
        <w:t>û</w:t>
      </w:r>
      <w:r>
        <w:rPr>
          <w:i/>
          <w:iCs/>
          <w:spacing w:val="0"/>
          <w:w w:val="100"/>
          <w:position w:val="0"/>
          <w:shd w:val="clear" w:color="auto" w:fill="auto"/>
          <w:lang w:val="de-DE" w:eastAsia="de-DE" w:bidi="de-DE"/>
        </w:rPr>
        <w:t>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1852) </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on</w:t>
      </w:r>
      <w:r>
        <w:rPr>
          <w:spacing w:val="0"/>
          <w:w w:val="100"/>
          <w:position w:val="0"/>
          <w:shd w:val="clear" w:color="auto" w:fill="auto"/>
          <w:lang w:val="en-US" w:eastAsia="en-US" w:bidi="en-US"/>
        </w:rPr>
        <w:t xml:space="preserve"> Ḥ</w:t>
      </w:r>
      <w:r>
        <w:rPr>
          <w:spacing w:val="0"/>
          <w:w w:val="100"/>
          <w:position w:val="0"/>
          <w:shd w:val="clear" w:color="auto" w:fill="auto"/>
          <w:lang w:val="fr-FR" w:eastAsia="fr-FR" w:bidi="fr-FR"/>
        </w:rPr>
        <w:t>abb</w:t>
      </w:r>
      <w:r>
        <w:rPr>
          <w:spacing w:val="0"/>
          <w:w w:val="100"/>
          <w:position w:val="0"/>
          <w:shd w:val="clear" w:color="auto" w:fill="auto"/>
          <w:lang w:val="en-US" w:eastAsia="en-US" w:bidi="en-US"/>
        </w:rPr>
        <w:t>ī</w:t>
      </w:r>
      <w:r>
        <w:rPr>
          <w:spacing w:val="0"/>
          <w:w w:val="100"/>
          <w:position w:val="0"/>
          <w:shd w:val="clear" w:color="auto" w:fill="auto"/>
          <w:lang w:val="fr-FR" w:eastAsia="fr-FR" w:bidi="fr-FR"/>
        </w:rPr>
        <w:t xml:space="preserve">bh </w:t>
      </w:r>
      <w:r>
        <w:rPr>
          <w:spacing w:val="0"/>
          <w:w w:val="100"/>
          <w:position w:val="0"/>
          <w:shd w:val="clear" w:color="auto" w:fill="auto"/>
          <w:lang w:val="de-DE" w:eastAsia="de-DE" w:bidi="de-DE"/>
        </w:rPr>
        <w:t xml:space="preserve">and </w:t>
      </w:r>
      <w:r>
        <w:rPr>
          <w:spacing w:val="0"/>
          <w:w w:val="100"/>
          <w:position w:val="0"/>
          <w:shd w:val="clear" w:color="auto" w:fill="auto"/>
          <w:lang w:val="fr-FR" w:eastAsia="fr-FR" w:bidi="fr-FR"/>
        </w:rPr>
        <w:t xml:space="preserve">on </w:t>
      </w:r>
      <w:r>
        <w:rPr>
          <w:spacing w:val="0"/>
          <w:w w:val="100"/>
          <w:position w:val="0"/>
          <w:shd w:val="clear" w:color="auto" w:fill="auto"/>
          <w:lang w:val="de-DE" w:eastAsia="de-DE" w:bidi="de-DE"/>
        </w:rPr>
        <w:t>Gury</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and Sham</w:t>
      </w:r>
      <w:r>
        <w:rPr>
          <w:spacing w:val="0"/>
          <w:w w:val="100"/>
          <w:position w:val="0"/>
          <w:shd w:val="clear" w:color="auto" w:fill="auto"/>
          <w:lang w:val="en-US" w:eastAsia="en-US" w:bidi="en-US"/>
        </w:rPr>
        <w:t>ū</w:t>
      </w:r>
      <w:r>
        <w:rPr>
          <w:spacing w:val="0"/>
          <w:w w:val="100"/>
          <w:position w:val="0"/>
          <w:shd w:val="clear" w:color="auto" w:fill="auto"/>
          <w:lang w:val="de-DE" w:eastAsia="de-DE" w:bidi="de-DE"/>
        </w:rPr>
        <w:t>n</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la-001" w:eastAsia="la-001" w:bidi="la-001"/>
        </w:rPr>
        <w:t xml:space="preserve">Edessene </w:t>
      </w:r>
      <w:r>
        <w:rPr>
          <w:spacing w:val="0"/>
          <w:w w:val="100"/>
          <w:position w:val="0"/>
          <w:shd w:val="clear" w:color="auto" w:fill="auto"/>
          <w:lang w:val="en-US" w:eastAsia="en-US" w:bidi="en-US"/>
        </w:rPr>
        <w:t xml:space="preserve">martyrs, with </w:t>
      </w:r>
      <w:r>
        <w:rPr>
          <w:spacing w:val="0"/>
          <w:w w:val="100"/>
          <w:position w:val="0"/>
          <w:shd w:val="clear" w:color="auto" w:fill="auto"/>
          <w:lang w:val="fr-FR" w:eastAsia="fr-FR" w:bidi="fr-FR"/>
        </w:rPr>
        <w:t xml:space="preserve">a </w:t>
      </w:r>
      <w:r>
        <w:rPr>
          <w:i/>
          <w:iCs/>
          <w:spacing w:val="0"/>
          <w:w w:val="100"/>
          <w:position w:val="0"/>
          <w:shd w:val="clear" w:color="auto" w:fill="auto"/>
          <w:lang w:val="fr-FR" w:eastAsia="fr-FR" w:bidi="fr-FR"/>
        </w:rPr>
        <w:t>s</w:t>
      </w:r>
      <w:r>
        <w:rPr>
          <w:i/>
          <w:iCs/>
          <w:spacing w:val="0"/>
          <w:w w:val="100"/>
          <w:position w:val="0"/>
          <w:shd w:val="clear" w:color="auto" w:fill="auto"/>
          <w:lang w:val="en-US" w:eastAsia="en-US" w:bidi="en-US"/>
        </w:rPr>
        <w:t>ū</w:t>
      </w:r>
      <w:r>
        <w:rPr>
          <w:i/>
          <w:iCs/>
          <w:spacing w:val="0"/>
          <w:w w:val="100"/>
          <w:position w:val="0"/>
          <w:shd w:val="clear" w:color="auto" w:fill="auto"/>
          <w:lang w:val="fr-FR" w:eastAsia="fr-FR" w:bidi="fr-FR"/>
        </w:rPr>
        <w:t>gh</w:t>
      </w:r>
      <w:r>
        <w:rPr>
          <w:i/>
          <w:iCs/>
          <w:spacing w:val="0"/>
          <w:w w:val="100"/>
          <w:position w:val="0"/>
          <w:shd w:val="clear" w:color="auto" w:fill="auto"/>
          <w:lang w:val="en-US" w:eastAsia="en-US" w:bidi="en-US"/>
        </w:rPr>
        <w:t>ī</w:t>
      </w:r>
      <w:r>
        <w:rPr>
          <w:i/>
          <w:iCs/>
          <w:spacing w:val="0"/>
          <w:w w:val="100"/>
          <w:position w:val="0"/>
          <w:shd w:val="clear" w:color="auto" w:fill="auto"/>
          <w:lang w:val="fr-FR" w:eastAsia="fr-FR" w:bidi="fr-FR"/>
        </w:rPr>
        <w:t>th</w:t>
      </w:r>
      <w:r>
        <w:rPr>
          <w:i/>
          <w:iCs/>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on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by Cureton, </w:t>
      </w:r>
      <w:r>
        <w:rPr>
          <w:i/>
          <w:iCs/>
          <w:spacing w:val="0"/>
          <w:w w:val="100"/>
          <w:position w:val="0"/>
          <w:shd w:val="clear" w:color="auto" w:fill="auto"/>
          <w:lang w:val="en-US" w:eastAsia="en-US" w:bidi="en-US"/>
        </w:rPr>
        <w:t>Ancient Syriac Documents,</w:t>
      </w:r>
      <w:r>
        <w:rPr>
          <w:spacing w:val="0"/>
          <w:w w:val="100"/>
          <w:position w:val="0"/>
          <w:shd w:val="clear" w:color="auto" w:fill="auto"/>
          <w:lang w:val="en-US" w:eastAsia="en-US" w:bidi="en-US"/>
        </w:rPr>
        <w:t xml:space="preserve"> pp. 86-98 ; on </w:t>
      </w:r>
      <w:r>
        <w:rPr>
          <w:spacing w:val="0"/>
          <w:w w:val="100"/>
          <w:position w:val="0"/>
          <w:shd w:val="clear" w:color="auto" w:fill="auto"/>
          <w:lang w:val="fr-FR" w:eastAsia="fr-FR" w:bidi="fr-FR"/>
        </w:rPr>
        <w:t>Sharb</w:t>
      </w:r>
      <w:r>
        <w:rPr>
          <w:color w:val="000000"/>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 xml:space="preserve">by </w:t>
      </w:r>
      <w:r>
        <w:rPr>
          <w:spacing w:val="0"/>
          <w:w w:val="100"/>
          <w:position w:val="0"/>
          <w:shd w:val="clear" w:color="auto" w:fill="auto"/>
          <w:lang w:val="de-DE" w:eastAsia="de-DE" w:bidi="de-DE"/>
        </w:rPr>
        <w:t xml:space="preserve">Mösinger, </w:t>
      </w:r>
      <w:r>
        <w:rPr>
          <w:i/>
          <w:iCs/>
          <w:spacing w:val="0"/>
          <w:w w:val="100"/>
          <w:position w:val="0"/>
          <w:shd w:val="clear" w:color="auto" w:fill="auto"/>
          <w:lang w:val="en-US" w:eastAsia="en-US" w:bidi="en-US"/>
        </w:rPr>
        <w:t>Mon. Syr.,</w:t>
      </w:r>
      <w:r>
        <w:rPr>
          <w:spacing w:val="0"/>
          <w:w w:val="100"/>
          <w:position w:val="0"/>
          <w:shd w:val="clear" w:color="auto" w:fill="auto"/>
          <w:lang w:val="en-US" w:eastAsia="en-US" w:bidi="en-US"/>
        </w:rPr>
        <w:t xml:space="preserve"> ii. 52, and on the chariot of Ezekiel, with an Arabic translation,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76 ; two on the Blessed virgin Mary by </w:t>
      </w:r>
      <w:r>
        <w:rPr>
          <w:spacing w:val="0"/>
          <w:w w:val="100"/>
          <w:position w:val="0"/>
          <w:shd w:val="clear" w:color="auto" w:fill="auto"/>
          <w:lang w:val="fr-FR" w:eastAsia="fr-FR" w:bidi="fr-FR"/>
        </w:rPr>
        <w:t xml:space="preserve">Abbeloos, </w:t>
      </w:r>
      <w:r>
        <w:rPr>
          <w:spacing w:val="0"/>
          <w:w w:val="100"/>
          <w:position w:val="0"/>
          <w:shd w:val="clear" w:color="auto" w:fill="auto"/>
          <w:lang w:val="en-US" w:eastAsia="en-US" w:bidi="en-US"/>
        </w:rPr>
        <w:t xml:space="preserve">Be </w:t>
      </w:r>
      <w:r>
        <w:rPr>
          <w:i/>
          <w:iCs/>
          <w:spacing w:val="0"/>
          <w:w w:val="100"/>
          <w:position w:val="0"/>
          <w:shd w:val="clear" w:color="auto" w:fill="auto"/>
          <w:lang w:val="en-US" w:eastAsia="en-US" w:bidi="en-US"/>
        </w:rPr>
        <w:t>Pita,</w:t>
      </w:r>
      <w:r>
        <w:rPr>
          <w:spacing w:val="0"/>
          <w:w w:val="100"/>
          <w:position w:val="0"/>
          <w:shd w:val="clear" w:color="auto" w:fill="auto"/>
          <w:lang w:val="en-US" w:eastAsia="en-US" w:bidi="en-US"/>
        </w:rPr>
        <w:t xml:space="preserve"> &amp;c., pp. 203-301 ; on Jacob at Bethel, on our Lord and Jacob, the church and Rachel, Leah and the synagogue, on the two birds (Lev. xiv. 4), on the two goats (Lev. xvi. 7), and on Moses’ vail, (Exod. xxxiv. 33) by Zingerle, </w:t>
      </w:r>
      <w:r>
        <w:rPr>
          <w:i/>
          <w:iCs/>
          <w:spacing w:val="0"/>
          <w:w w:val="100"/>
          <w:position w:val="0"/>
          <w:shd w:val="clear" w:color="auto" w:fill="auto"/>
          <w:lang w:val="en-US" w:eastAsia="en-US" w:bidi="en-US"/>
        </w:rPr>
        <w:t>Mon. Syr.,</w:t>
      </w:r>
      <w:r>
        <w:rPr>
          <w:spacing w:val="0"/>
          <w:w w:val="100"/>
          <w:position w:val="0"/>
          <w:shd w:val="clear" w:color="auto" w:fill="auto"/>
          <w:lang w:val="en-US" w:eastAsia="en-US" w:bidi="en-US"/>
        </w:rPr>
        <w:t xml:space="preserve"> i. 21-90 ; on Tamar by J. Zingerle, 1871 ; on the paiace which St Thomas built for the king of India in Heaven (perhaps spurious) by </w:t>
      </w:r>
      <w:r>
        <w:rPr>
          <w:spacing w:val="0"/>
          <w:w w:val="100"/>
          <w:position w:val="0"/>
          <w:shd w:val="clear" w:color="auto" w:fill="auto"/>
          <w:lang w:val="de-DE" w:eastAsia="de-DE" w:bidi="de-DE"/>
        </w:rPr>
        <w:t xml:space="preserve">Schröter,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xxv. 321, xxviii. 584 ; on the fall of the idols by Martin, 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xxix. 107 ; on the baptism of Constantine (perhaps spurious) by Frothingham, in the </w:t>
      </w:r>
      <w:r>
        <w:rPr>
          <w:i/>
          <w:iCs/>
          <w:spacing w:val="0"/>
          <w:w w:val="100"/>
          <w:position w:val="0"/>
          <w:shd w:val="clear" w:color="auto" w:fill="auto"/>
          <w:lang w:val="en-US" w:eastAsia="en-US" w:bidi="en-US"/>
        </w:rPr>
        <w:t xml:space="preserve">Atti della Accademia dei Lincei </w:t>
      </w:r>
      <w:r>
        <w:rPr>
          <w:spacing w:val="0"/>
          <w:w w:val="100"/>
          <w:position w:val="0"/>
          <w:shd w:val="clear" w:color="auto" w:fill="auto"/>
          <w:lang w:val="en-US" w:eastAsia="en-US" w:bidi="en-US"/>
        </w:rPr>
        <w:t xml:space="preserve">for 1881-82 (Rome, 18S2). Bickell has translated into German (in Thalhofer, </w:t>
      </w:r>
      <w:r>
        <w:rPr>
          <w:i/>
          <w:iCs/>
          <w:spacing w:val="0"/>
          <w:w w:val="100"/>
          <w:position w:val="0"/>
          <w:shd w:val="clear" w:color="auto" w:fill="auto"/>
          <w:lang w:val="en-US" w:eastAsia="en-US" w:bidi="en-US"/>
        </w:rPr>
        <w:t>Bibl.,</w:t>
      </w:r>
      <w:r>
        <w:rPr>
          <w:spacing w:val="0"/>
          <w:w w:val="100"/>
          <w:position w:val="0"/>
          <w:shd w:val="clear" w:color="auto" w:fill="auto"/>
          <w:lang w:val="en-US" w:eastAsia="en-US" w:bidi="en-US"/>
        </w:rPr>
        <w:t xml:space="preserve"> 58) the first homily on the Blessed virgin Mary, that on Jacob at Bethel, on Moses’ vail, and on </w:t>
      </w:r>
      <w:r>
        <w:rPr>
          <w:spacing w:val="0"/>
          <w:w w:val="100"/>
          <w:position w:val="0"/>
          <w:shd w:val="clear" w:color="auto" w:fill="auto"/>
          <w:lang w:val="de-DE" w:eastAsia="de-DE" w:bidi="de-DE"/>
        </w:rPr>
        <w:t>Gury</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Sham</w:t>
      </w:r>
      <w:r>
        <w:rPr>
          <w:spacing w:val="0"/>
          <w:w w:val="100"/>
          <w:position w:val="0"/>
          <w:shd w:val="clear" w:color="auto" w:fill="auto"/>
          <w:lang w:val="en-US" w:eastAsia="en-US" w:bidi="en-US"/>
        </w:rPr>
        <w:t>ū</w:t>
      </w:r>
      <w:r>
        <w:rPr>
          <w:spacing w:val="0"/>
          <w:w w:val="100"/>
          <w:position w:val="0"/>
          <w:shd w:val="clear" w:color="auto" w:fill="auto"/>
          <w:lang w:val="de-DE" w:eastAsia="de-DE" w:bidi="de-DE"/>
        </w:rPr>
        <w:t>n</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Some of Jacob’s homilies are extant in Arabic, and even in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xml:space="preserve">His prayer as a child see in </w:t>
      </w:r>
      <w:r>
        <w:rPr>
          <w:spacing w:val="0"/>
          <w:w w:val="100"/>
          <w:position w:val="0"/>
          <w:shd w:val="clear" w:color="auto" w:fill="auto"/>
          <w:lang w:val="de-DE" w:eastAsia="de-DE" w:bidi="de-DE"/>
        </w:rPr>
        <w:t xml:space="preserve">Overbeck,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382.</w:t>
        <w:tab/>
      </w:r>
    </w:p>
    <w:p>
      <w:pPr>
        <w:pStyle w:val="Style10"/>
        <w:keepNext w:val="0"/>
        <w:keepLines w:val="0"/>
        <w:widowControl w:val="0"/>
        <w:shd w:val="clear" w:color="auto" w:fill="auto"/>
        <w:tabs>
          <w:tab w:pos="2027" w:val="left"/>
        </w:tabs>
        <w:bidi w:val="0"/>
        <w:spacing w:line="192" w:lineRule="auto"/>
        <w:ind w:left="0" w:firstLine="0"/>
        <w:jc w:val="left"/>
      </w:pPr>
      <w:r>
        <w:rPr>
          <w:spacing w:val="0"/>
          <w:w w:val="100"/>
          <w:position w:val="0"/>
          <w:shd w:val="clear" w:color="auto" w:fill="auto"/>
          <w:lang w:val="en-US" w:eastAsia="en-US" w:bidi="en-US"/>
        </w:rPr>
        <w:t xml:space="preserve">@@@44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353.</w:t>
      </w:r>
    </w:p>
    <w:p>
      <w:pPr>
        <w:widowControl w:val="0"/>
        <w:spacing w:line="1" w:lineRule="exact"/>
      </w:pPr>
    </w:p>
    <w:sectPr>
      <w:footnotePr>
        <w:pos w:val="pageBottom"/>
        <w:numFmt w:val="decimal"/>
        <w:numRestart w:val="continuous"/>
      </w:footnotePr>
      <w:type w:val="continuous"/>
      <w:pgSz w:w="12240" w:h="16840"/>
      <w:pgMar w:top="1275" w:left="1610" w:right="1317" w:bottom="12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10">
    <w:name w:val="Body text (5)"/>
    <w:basedOn w:val="Normal"/>
    <w:link w:val="CharStyle11"/>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