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550. His writings consist of short sermons or tracts, exclusively intended for the training and study of monks and coenobites, and a number of letters. </w:t>
      </w:r>
      <w:r>
        <w:rPr>
          <w:spacing w:val="0"/>
          <w:w w:val="100"/>
          <w:position w:val="0"/>
          <w:shd w:val="clear" w:color="auto" w:fill="auto"/>
          <w:lang w:val="de-DE" w:eastAsia="de-DE" w:bidi="de-DE"/>
        </w:rPr>
        <w:t>'</w:t>
      </w:r>
      <w:r>
        <w:rPr>
          <w:spacing w:val="0"/>
          <w:w w:val="100"/>
          <w:position w:val="0"/>
          <w:shd w:val="clear" w:color="auto" w:fill="auto"/>
          <w:lang w:val="en-US" w:eastAsia="en-US" w:bidi="en-US"/>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(Zoe. cZZ.) says: “he composed two volumes, besides mournful epistles, on the monastic life.” They were collected@@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by his brother, who has prefixed a brief apology, at the end of which the reader may find a curious example of affected humility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435).@@</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Two short specimens of the style of “the spiritual old man,” </w:t>
      </w:r>
      <w:r>
        <w:rPr>
          <w:i/>
          <w:iCs/>
          <w:spacing w:val="0"/>
          <w:w w:val="100"/>
          <w:position w:val="0"/>
          <w:shd w:val="clear" w:color="auto" w:fill="auto"/>
          <w:lang w:val="en-US" w:eastAsia="en-US" w:bidi="en-US"/>
        </w:rPr>
        <w:t xml:space="preserve">ash-Shaikh </w:t>
      </w:r>
      <w:r>
        <w:rPr>
          <w:i/>
          <w:iCs/>
          <w:spacing w:val="0"/>
          <w:w w:val="100"/>
          <w:position w:val="0"/>
          <w:shd w:val="clear" w:color="auto" w:fill="auto"/>
          <w:lang w:val="de-DE" w:eastAsia="de-DE" w:bidi="de-DE"/>
        </w:rPr>
        <w:t>ar-ruhāni,</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are printed in Zingerle’s </w:t>
      </w:r>
      <w:r>
        <w:rPr>
          <w:i/>
          <w:iCs/>
          <w:spacing w:val="0"/>
          <w:w w:val="100"/>
          <w:position w:val="0"/>
          <w:shd w:val="clear" w:color="auto" w:fill="auto"/>
          <w:lang w:val="la-001" w:eastAsia="la-001" w:bidi="la-001"/>
        </w:rPr>
        <w:t xml:space="preserve">Monumenta </w:t>
      </w:r>
      <w:r>
        <w:rPr>
          <w:i/>
          <w:iCs/>
          <w:spacing w:val="0"/>
          <w:w w:val="100"/>
          <w:position w:val="0"/>
          <w:shd w:val="clear" w:color="auto" w:fill="auto"/>
          <w:lang w:val="en-US" w:eastAsia="en-US" w:bidi="en-US"/>
        </w:rPr>
        <w:t>Syr.,</w:t>
      </w:r>
      <w:r>
        <w:rPr>
          <w:spacing w:val="0"/>
          <w:w w:val="100"/>
          <w:position w:val="0"/>
          <w:shd w:val="clear" w:color="auto" w:fill="auto"/>
          <w:lang w:val="en-US" w:eastAsia="en-US" w:bidi="en-US"/>
        </w:rPr>
        <w:t xml:space="preserve"> i. 102-104.</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 little junior to John </w:t>
      </w:r>
      <w:r>
        <w:rPr>
          <w:spacing w:val="0"/>
          <w:w w:val="100"/>
          <w:position w:val="0"/>
          <w:shd w:val="clear" w:color="auto" w:fill="auto"/>
          <w:lang w:val="fr-FR" w:eastAsia="fr-FR" w:bidi="fr-FR"/>
        </w:rPr>
        <w:t xml:space="preserve">Sābhā </w:t>
      </w:r>
      <w:r>
        <w:rPr>
          <w:spacing w:val="0"/>
          <w:w w:val="100"/>
          <w:position w:val="0"/>
          <w:shd w:val="clear" w:color="auto" w:fill="auto"/>
          <w:lang w:val="en-US" w:eastAsia="en-US" w:bidi="en-US"/>
        </w:rPr>
        <w:t>was the even more widely known Isaac of Nineveh,@@</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to whom the Nestorians also lay claim.@@</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His date is fixed, as Assemani points out, by the facts of his citing Jacob of </w:t>
      </w:r>
      <w:r>
        <w:rPr>
          <w:spacing w:val="0"/>
          <w:w w:val="100"/>
          <w:position w:val="0"/>
          <w:shd w:val="clear" w:color="auto" w:fill="auto"/>
          <w:lang w:val="fr-FR" w:eastAsia="fr-FR" w:bidi="fr-FR"/>
        </w:rPr>
        <w:t xml:space="preserve">Sērūgh </w:t>
      </w:r>
      <w:r>
        <w:rPr>
          <w:spacing w:val="0"/>
          <w:w w:val="100"/>
          <w:position w:val="0"/>
          <w:shd w:val="clear" w:color="auto" w:fill="auto"/>
          <w:lang w:val="en-US" w:eastAsia="en-US" w:bidi="en-US"/>
        </w:rPr>
        <w:t xml:space="preserve">and corresponding with Simeon Stylites the younger or Thaurnastorites, who died in 593. According to the Arabic biography, printed 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444, he was a monk of the convent of </w:t>
      </w:r>
      <w:r>
        <w:rPr>
          <w:spacing w:val="0"/>
          <w:w w:val="100"/>
          <w:position w:val="0"/>
          <w:shd w:val="clear" w:color="auto" w:fill="auto"/>
          <w:lang w:val="de-DE" w:eastAsia="de-DE" w:bidi="de-DE"/>
        </w:rPr>
        <w:t xml:space="preserve">Mār </w:t>
      </w:r>
      <w:r>
        <w:rPr>
          <w:spacing w:val="0"/>
          <w:w w:val="100"/>
          <w:position w:val="0"/>
          <w:shd w:val="clear" w:color="auto" w:fill="auto"/>
          <w:lang w:val="en-US" w:eastAsia="en-US" w:bidi="en-US"/>
        </w:rPr>
        <w:t xml:space="preserve">Matthew at Mosul, and afterwards became bishop of that city, but soon resigned his office and retired to the desert of </w:t>
      </w:r>
      <w:r>
        <w:rPr>
          <w:spacing w:val="0"/>
          <w:w w:val="100"/>
          <w:position w:val="0"/>
          <w:shd w:val="clear" w:color="auto" w:fill="auto"/>
          <w:lang w:val="fr-FR" w:eastAsia="fr-FR" w:bidi="fr-FR"/>
        </w:rPr>
        <w:t xml:space="preserve">Skētē </w:t>
      </w:r>
      <w:r>
        <w:rPr>
          <w:spacing w:val="0"/>
          <w:w w:val="100"/>
          <w:position w:val="0"/>
          <w:shd w:val="clear" w:color="auto" w:fill="auto"/>
          <w:lang w:val="en-US" w:eastAsia="en-US" w:bidi="en-US"/>
        </w:rPr>
        <w:t xml:space="preserve">in Egypt, where he composed his ascetic works. According to </w:t>
      </w:r>
      <w:r>
        <w:rPr>
          <w:spacing w:val="0"/>
          <w:w w:val="100"/>
          <w:position w:val="0"/>
          <w:shd w:val="clear" w:color="auto" w:fill="auto"/>
          <w:lang w:val="de-DE" w:eastAsia="de-DE" w:bidi="de-DE"/>
        </w:rPr>
        <w:t>'Abhd-ishō'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104), Isaac “wrote seven volumes on the guidance of the Spirit, and on the Divine mysteries and judgements and dispensation.” Many of his discourses and epistles have been catalogued by Assemani,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446-460. The MS. Vat. cxxiv. contains the first half of his writings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143), and similarly MSS.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14632 and 14633.@@</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The Arabic translation is divided into four books ; the </w:t>
      </w:r>
      <w:r>
        <w:rPr>
          <w:spacing w:val="0"/>
          <w:w w:val="100"/>
          <w:position w:val="0"/>
          <w:shd w:val="clear" w:color="auto" w:fill="auto"/>
          <w:lang w:val="fr-FR" w:eastAsia="fr-FR" w:bidi="fr-FR"/>
        </w:rPr>
        <w:t xml:space="preserve">Ethiopie </w:t>
      </w:r>
      <w:r>
        <w:rPr>
          <w:spacing w:val="0"/>
          <w:w w:val="100"/>
          <w:position w:val="0"/>
          <w:shd w:val="clear" w:color="auto" w:fill="auto"/>
          <w:lang w:val="en-US" w:eastAsia="en-US" w:bidi="en-US"/>
        </w:rPr>
        <w:t xml:space="preserve">is naturally derived from the Arabic. A Greek version was made from the original Syriac by two monks of St Saba, near Jerusalem, named </w:t>
      </w:r>
      <w:r>
        <w:rPr>
          <w:spacing w:val="0"/>
          <w:w w:val="100"/>
          <w:position w:val="0"/>
          <w:shd w:val="clear" w:color="auto" w:fill="auto"/>
          <w:lang w:val="la-001" w:eastAsia="la-001" w:bidi="la-001"/>
        </w:rPr>
        <w:t xml:space="preserve">Patricius </w:t>
      </w:r>
      <w:r>
        <w:rPr>
          <w:spacing w:val="0"/>
          <w:w w:val="100"/>
          <w:position w:val="0"/>
          <w:shd w:val="clear" w:color="auto" w:fill="auto"/>
          <w:lang w:val="en-US" w:eastAsia="en-US" w:bidi="en-US"/>
        </w:rPr>
        <w:t xml:space="preserve">and Abraamius, on which see Assemani,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445, and Bickell, </w:t>
      </w:r>
      <w:r>
        <w:rPr>
          <w:i/>
          <w:iCs/>
          <w:spacing w:val="0"/>
          <w:w w:val="100"/>
          <w:position w:val="0"/>
          <w:shd w:val="clear" w:color="auto" w:fill="auto"/>
          <w:lang w:val="en-US" w:eastAsia="en-US" w:bidi="en-US"/>
        </w:rPr>
        <w:t>Con</w:t>
        <w:softHyphen/>
        <w:t>spectus,</w:t>
      </w:r>
      <w:r>
        <w:rPr>
          <w:spacing w:val="0"/>
          <w:w w:val="100"/>
          <w:position w:val="0"/>
          <w:shd w:val="clear" w:color="auto" w:fill="auto"/>
          <w:lang w:val="en-US" w:eastAsia="en-US" w:bidi="en-US"/>
        </w:rPr>
        <w:t xml:space="preserve"> p. 26. The only printed specimens of his discourses are two in Zingerle’s </w:t>
      </w:r>
      <w:r>
        <w:rPr>
          <w:i/>
          <w:iCs/>
          <w:spacing w:val="0"/>
          <w:w w:val="100"/>
          <w:position w:val="0"/>
          <w:shd w:val="clear" w:color="auto" w:fill="auto"/>
          <w:lang w:val="la-001" w:eastAsia="la-001" w:bidi="la-001"/>
        </w:rPr>
        <w:t xml:space="preserve">Monumenta </w:t>
      </w:r>
      <w:r>
        <w:rPr>
          <w:i/>
          <w:iCs/>
          <w:spacing w:val="0"/>
          <w:w w:val="100"/>
          <w:position w:val="0"/>
          <w:shd w:val="clear" w:color="auto" w:fill="auto"/>
          <w:lang w:val="en-US" w:eastAsia="en-US" w:bidi="en-US"/>
        </w:rPr>
        <w:t>Syr.,</w:t>
      </w:r>
      <w:r>
        <w:rPr>
          <w:spacing w:val="0"/>
          <w:w w:val="100"/>
          <w:position w:val="0"/>
          <w:shd w:val="clear" w:color="auto" w:fill="auto"/>
          <w:lang w:val="en-US" w:eastAsia="en-US" w:bidi="en-US"/>
        </w:rPr>
        <w:t xml:space="preserve"> i. 97-101.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Another author of this class, but of less mark, is Abraham of Nephtar,@@</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who flourished towards the end of the 6th century and in the early part of the 7th.@@</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Him too the Nestorians claim as theirs.@@</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w:t>
      </w:r>
      <w:r>
        <w:rPr>
          <w:spacing w:val="0"/>
          <w:w w:val="100"/>
          <w:position w:val="0"/>
          <w:shd w:val="clear" w:color="auto" w:fill="auto"/>
          <w:lang w:val="en-US" w:eastAsia="en-US" w:bidi="en-US"/>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speaks of “various works” of his,@@</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but our libraries seem to contain only eight short discourses, the titles of which are given by Assemani, </w:t>
      </w:r>
      <w:r>
        <w:rPr>
          <w:i/>
          <w:iCs/>
          <w:spacing w:val="0"/>
          <w:w w:val="100"/>
          <w:position w:val="0"/>
          <w:shd w:val="clear" w:color="auto" w:fill="auto"/>
          <w:lang w:val="en-US" w:eastAsia="en-US" w:bidi="en-US"/>
        </w:rPr>
        <w:t>B. O.,</w:t>
      </w:r>
      <w:r>
        <w:rPr>
          <w:spacing w:val="0"/>
          <w:w w:val="100"/>
          <w:position w:val="0"/>
          <w:shd w:val="clear" w:color="auto" w:fill="auto"/>
          <w:lang w:val="en-US" w:eastAsia="en-US" w:bidi="en-US"/>
        </w:rPr>
        <w:t xml:space="preserve"> i. 464.@@</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They have been trans</w:t>
        <w:softHyphen/>
        <w:t>lated into Arabic, and there was also a Persian version of them by Job the monk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431).</w:t>
      </w:r>
    </w:p>
    <w:p>
      <w:pPr>
        <w:pStyle w:val="Style2"/>
        <w:keepNext w:val="0"/>
        <w:keepLines w:val="0"/>
        <w:widowControl w:val="0"/>
        <w:shd w:val="clear" w:color="auto" w:fill="auto"/>
        <w:tabs>
          <w:tab w:pos="3154" w:val="left"/>
        </w:tabs>
        <w:bidi w:val="0"/>
        <w:spacing w:line="202" w:lineRule="auto"/>
        <w:ind w:left="0" w:firstLine="360"/>
        <w:jc w:val="left"/>
      </w:pPr>
      <w:r>
        <w:rPr>
          <w:spacing w:val="0"/>
          <w:w w:val="100"/>
          <w:position w:val="0"/>
          <w:shd w:val="clear" w:color="auto" w:fill="auto"/>
          <w:lang w:val="en-US" w:eastAsia="en-US" w:bidi="en-US"/>
        </w:rPr>
        <w:t xml:space="preserve">We record here the name of Moses of </w:t>
      </w:r>
      <w:r>
        <w:rPr>
          <w:spacing w:val="0"/>
          <w:w w:val="100"/>
          <w:position w:val="0"/>
          <w:shd w:val="clear" w:color="auto" w:fill="auto"/>
          <w:lang w:val="fr-FR" w:eastAsia="fr-FR" w:bidi="fr-FR"/>
        </w:rPr>
        <w:t xml:space="preserve">Aggēl </w:t>
      </w:r>
      <w:r>
        <w:rPr>
          <w:spacing w:val="0"/>
          <w:w w:val="100"/>
          <w:position w:val="0"/>
          <w:shd w:val="clear" w:color="auto" w:fill="auto"/>
          <w:lang w:val="en-US" w:eastAsia="en-US" w:bidi="en-US"/>
        </w:rPr>
        <w:t xml:space="preserve">as being one of those who, after </w:t>
      </w:r>
      <w:r>
        <w:rPr>
          <w:spacing w:val="0"/>
          <w:w w:val="100"/>
          <w:position w:val="0"/>
          <w:shd w:val="clear" w:color="auto" w:fill="auto"/>
          <w:lang w:val="fr-FR" w:eastAsia="fr-FR" w:bidi="fr-FR"/>
        </w:rPr>
        <w:t xml:space="preserve">Rabbulā, </w:t>
      </w:r>
      <w:r>
        <w:rPr>
          <w:spacing w:val="0"/>
          <w:w w:val="100"/>
          <w:position w:val="0"/>
          <w:shd w:val="clear" w:color="auto" w:fill="auto"/>
          <w:lang w:val="en-US" w:eastAsia="en-US" w:bidi="en-US"/>
        </w:rPr>
        <w:t xml:space="preserve">undertook the translation of the writings of Cyril of Alexandria into Syriac. He made a version of the </w:t>
      </w:r>
      <w:r>
        <w:rPr>
          <w:i/>
          <w:iCs/>
          <w:spacing w:val="0"/>
          <w:w w:val="100"/>
          <w:position w:val="0"/>
          <w:shd w:val="clear" w:color="auto" w:fill="auto"/>
          <w:lang w:val="en-US" w:eastAsia="en-US" w:bidi="en-US"/>
        </w:rPr>
        <w:t>Gla</w:t>
        <w:softHyphen/>
        <w:t>phyra,</w:t>
      </w:r>
      <w:r>
        <w:rPr>
          <w:spacing w:val="0"/>
          <w:w w:val="100"/>
          <w:position w:val="0"/>
          <w:shd w:val="clear" w:color="auto" w:fill="auto"/>
          <w:lang w:val="en-US" w:eastAsia="en-US" w:bidi="en-US"/>
        </w:rPr>
        <w:t xml:space="preserve"> at the request of a monk named Paphnutius, from whose letter@@</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we learn that the treatise </w:t>
      </w:r>
      <w:r>
        <w:rPr>
          <w:i/>
          <w:iCs/>
          <w:spacing w:val="0"/>
          <w:w w:val="100"/>
          <w:position w:val="0"/>
          <w:shd w:val="clear" w:color="auto" w:fill="auto"/>
          <w:lang w:val="en-US" w:eastAsia="en-US" w:bidi="en-US"/>
        </w:rPr>
        <w:t>On Worship in Spirit and in Truth</w:t>
      </w:r>
      <w:r>
        <w:rPr>
          <w:spacing w:val="0"/>
          <w:w w:val="100"/>
          <w:position w:val="0"/>
          <w:shd w:val="clear" w:color="auto" w:fill="auto"/>
          <w:lang w:val="en-US" w:eastAsia="en-US" w:bidi="en-US"/>
        </w:rPr>
        <w:t xml:space="preserve"> had been already translated,@@</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whilst from the reply of Moses, as quoted in </w:t>
      </w:r>
      <w:r>
        <w:rPr>
          <w:i/>
          <w:iCs/>
          <w:spacing w:val="0"/>
          <w:w w:val="100"/>
          <w:position w:val="0"/>
          <w:shd w:val="clear" w:color="auto" w:fill="auto"/>
          <w:lang w:val="en-US" w:eastAsia="en-US" w:bidi="en-US"/>
        </w:rPr>
        <w:t>B. O.,</w:t>
      </w:r>
      <w:r>
        <w:rPr>
          <w:spacing w:val="0"/>
          <w:w w:val="100"/>
          <w:position w:val="0"/>
          <w:shd w:val="clear" w:color="auto" w:fill="auto"/>
          <w:lang w:val="en-US" w:eastAsia="en-US" w:bidi="en-US"/>
        </w:rPr>
        <w:t xml:space="preserve"> ii. 82-83, it is obvious that he was writing after the death of </w:t>
      </w:r>
      <w:r>
        <w:rPr>
          <w:spacing w:val="0"/>
          <w:w w:val="100"/>
          <w:position w:val="0"/>
          <w:shd w:val="clear" w:color="auto" w:fill="auto"/>
          <w:lang w:val="la-001" w:eastAsia="la-001" w:bidi="la-001"/>
        </w:rPr>
        <w:t xml:space="preserve">Philoxenus </w:t>
      </w:r>
      <w:r>
        <w:rPr>
          <w:spacing w:val="0"/>
          <w:w w:val="100"/>
          <w:position w:val="0"/>
          <w:shd w:val="clear" w:color="auto" w:fill="auto"/>
          <w:lang w:val="en-US" w:eastAsia="en-US" w:bidi="en-US"/>
        </w:rPr>
        <w:t xml:space="preserve">and the </w:t>
      </w:r>
      <w:r>
        <w:rPr>
          <w:spacing w:val="0"/>
          <w:w w:val="100"/>
          <w:position w:val="0"/>
          <w:shd w:val="clear" w:color="auto" w:fill="auto"/>
          <w:lang w:val="la-001" w:eastAsia="la-001" w:bidi="la-001"/>
        </w:rPr>
        <w:t xml:space="preserve">chorepiscopus </w:t>
      </w:r>
      <w:r>
        <w:rPr>
          <w:spacing w:val="0"/>
          <w:w w:val="100"/>
          <w:position w:val="0"/>
          <w:shd w:val="clear" w:color="auto" w:fill="auto"/>
          <w:lang w:val="en-US" w:eastAsia="en-US" w:bidi="en-US"/>
        </w:rPr>
        <w:t xml:space="preserve">Polycarp. Hence we may place him soon after the middle of the century, say from 550 to 570. Much later he cannot be, because his translation of the History of Moses and </w:t>
      </w:r>
      <w:r>
        <w:rPr>
          <w:spacing w:val="0"/>
          <w:w w:val="100"/>
          <w:position w:val="0"/>
          <w:shd w:val="clear" w:color="auto" w:fill="auto"/>
          <w:lang w:val="fr-FR" w:eastAsia="fr-FR" w:bidi="fr-FR"/>
        </w:rPr>
        <w:t xml:space="preserve">āsyath </w:t>
      </w:r>
      <w:r>
        <w:rPr>
          <w:spacing w:val="0"/>
          <w:w w:val="100"/>
          <w:position w:val="0"/>
          <w:shd w:val="clear" w:color="auto" w:fill="auto"/>
          <w:lang w:val="en-US" w:eastAsia="en-US" w:bidi="en-US"/>
        </w:rPr>
        <w:t>(see above, p. 826) has been ad</w:t>
        <w:softHyphen/>
        <w:t>mitted into the Syriac compilation that passes under the name of Zacharias Rhetor (see above, p. 835).@@</w:t>
      </w:r>
      <w:r>
        <w:rPr>
          <w:spacing w:val="0"/>
          <w:w w:val="100"/>
          <w:position w:val="0"/>
          <w:shd w:val="clear" w:color="auto" w:fill="auto"/>
          <w:vertAlign w:val="superscript"/>
          <w:lang w:val="en-US" w:eastAsia="en-US" w:bidi="en-US"/>
        </w:rPr>
        <w:t>13</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Peter of </w:t>
      </w:r>
      <w:r>
        <w:rPr>
          <w:spacing w:val="0"/>
          <w:w w:val="100"/>
          <w:position w:val="0"/>
          <w:shd w:val="clear" w:color="auto" w:fill="auto"/>
          <w:lang w:val="la-001" w:eastAsia="la-001" w:bidi="la-001"/>
        </w:rPr>
        <w:t xml:space="preserve">Callinicus </w:t>
      </w:r>
      <w:r>
        <w:rPr>
          <w:spacing w:val="0"/>
          <w:w w:val="100"/>
          <w:position w:val="0"/>
          <w:shd w:val="clear" w:color="auto" w:fill="auto"/>
          <w:lang w:val="en-US" w:eastAsia="en-US" w:bidi="en-US"/>
        </w:rPr>
        <w:t>(ar-Raḳḳah), Jacobite patriarch of Antioch, 578-591,@@</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deserves mention on account of his huge controversial treatise against Damian, patriarch of Alexandria, manuscripts of parts of which, of the 7th and 8th centuries, are extant in the Vatican and the British Museum.@@</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Other writings of his are an anaphora,@@</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a short treatise against the Tritheists,@@</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sundry letters,@@</w:t>
      </w:r>
      <w:r>
        <w:rPr>
          <w:spacing w:val="0"/>
          <w:w w:val="100"/>
          <w:position w:val="0"/>
          <w:shd w:val="clear" w:color="auto" w:fill="auto"/>
          <w:vertAlign w:val="superscript"/>
          <w:lang w:val="en-US" w:eastAsia="en-US" w:bidi="en-US"/>
        </w:rPr>
        <w:t xml:space="preserve">18 </w:t>
      </w:r>
      <w:r>
        <w:rPr>
          <w:spacing w:val="0"/>
          <w:w w:val="100"/>
          <w:position w:val="0"/>
          <w:shd w:val="clear" w:color="auto" w:fill="auto"/>
          <w:lang w:val="en-US" w:eastAsia="en-US" w:bidi="en-US"/>
        </w:rPr>
        <w:t>and a metrical homily on the Crucifixion of our Lord.@@</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In the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dispute between him and Damian was involved his syncellus and successor Julian, who defended Peter against an attack made upon him by Sergius the Armenian, bishop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and his brother John.@@</w:t>
      </w:r>
      <w:r>
        <w:rPr>
          <w:spacing w:val="0"/>
          <w:w w:val="100"/>
          <w:position w:val="0"/>
          <w:shd w:val="clear" w:color="auto" w:fill="auto"/>
          <w:vertAlign w:val="superscript"/>
          <w:lang w:val="en-US" w:eastAsia="en-US" w:bidi="en-US"/>
        </w:rPr>
        <w:t>20</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Of the numerous Nestorian writers of the 6th century we unfor</w:t>
        <w:softHyphen/>
        <w:t>tunately know but little more than can be learned from the cata</w:t>
        <w:softHyphen/>
        <w:t xml:space="preserve">logue of </w:t>
      </w:r>
      <w:r>
        <w:rPr>
          <w:spacing w:val="0"/>
          <w:w w:val="100"/>
          <w:position w:val="0"/>
          <w:shd w:val="clear" w:color="auto" w:fill="auto"/>
          <w:lang w:val="de-DE" w:eastAsia="de-DE" w:bidi="de-DE"/>
        </w:rPr>
        <w:t>'</w:t>
      </w:r>
      <w:r>
        <w:rPr>
          <w:spacing w:val="0"/>
          <w:w w:val="100"/>
          <w:position w:val="0"/>
          <w:shd w:val="clear" w:color="auto" w:fill="auto"/>
          <w:lang w:val="en-US" w:eastAsia="en-US" w:bidi="en-US"/>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Their works have either been lost, or else very few of them have as yet reached our European libraries.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successor of Narsai (above, p. 830) in the school of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was his sister’s son Abraham,@@</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who must have fled from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with his uncle.@@</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His principal writings are commentaries on Joshua, Judges, Kings, </w:t>
      </w:r>
      <w:r>
        <w:rPr>
          <w:spacing w:val="0"/>
          <w:w w:val="100"/>
          <w:position w:val="0"/>
          <w:shd w:val="clear" w:color="auto" w:fill="auto"/>
          <w:lang w:val="la-001" w:eastAsia="la-001" w:bidi="la-001"/>
        </w:rPr>
        <w:t xml:space="preserve">Ecclesiasticus, </w:t>
      </w:r>
      <w:r>
        <w:rPr>
          <w:spacing w:val="0"/>
          <w:w w:val="100"/>
          <w:position w:val="0"/>
          <w:shd w:val="clear" w:color="auto" w:fill="auto"/>
          <w:lang w:val="en-US" w:eastAsia="en-US" w:bidi="en-US"/>
        </w:rPr>
        <w:t>Isaiah, the twelve minor prophets, Daniel, and the Song of Songs.@@</w:t>
      </w:r>
      <w:r>
        <w:rPr>
          <w:spacing w:val="0"/>
          <w:w w:val="100"/>
          <w:position w:val="0"/>
          <w:shd w:val="clear" w:color="auto" w:fill="auto"/>
          <w:vertAlign w:val="superscript"/>
          <w:lang w:val="en-US" w:eastAsia="en-US" w:bidi="en-US"/>
        </w:rPr>
        <w:t>23</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To him succeeded as teacher John, also a disciple of Narsai.@@</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He wrote commentaries on Exodus, Leviticus, and Numbers, Job, Jere</w:t>
        <w:softHyphen/>
        <w:t xml:space="preserve">miah, Ezekiel, and Proverbs ; also controversial treatises against the Magi or Persian priesthood, the Jews, and (Christian) heretics ; a book of questions on the Old and New Testaments ; and various hymns. If the discourses on the plague at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and the death of Khosrau I. </w:t>
      </w:r>
      <w:r>
        <w:rPr>
          <w:spacing w:val="0"/>
          <w:w w:val="100"/>
          <w:position w:val="0"/>
          <w:shd w:val="clear" w:color="auto" w:fill="auto"/>
          <w:lang w:val="fr-FR" w:eastAsia="fr-FR" w:bidi="fr-FR"/>
        </w:rPr>
        <w:t xml:space="preserve">Anōsharwān </w:t>
      </w:r>
      <w:r>
        <w:rPr>
          <w:spacing w:val="0"/>
          <w:w w:val="100"/>
          <w:position w:val="0"/>
          <w:shd w:val="clear" w:color="auto" w:fill="auto"/>
          <w:lang w:val="en-US" w:eastAsia="en-US" w:bidi="en-US"/>
        </w:rPr>
        <w:t>be really by him, he was alive as late as 579, in the spring of which year that monarch died.@@</w:t>
      </w:r>
      <w:r>
        <w:rPr>
          <w:spacing w:val="0"/>
          <w:w w:val="100"/>
          <w:position w:val="0"/>
          <w:shd w:val="clear" w:color="auto" w:fill="auto"/>
          <w:vertAlign w:val="superscript"/>
          <w:lang w:val="en-US" w:eastAsia="en-US" w:bidi="en-US"/>
        </w:rPr>
        <w:t>26</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John was followed by Joseph </w:t>
      </w:r>
      <w:r>
        <w:rPr>
          <w:spacing w:val="0"/>
          <w:w w:val="100"/>
          <w:position w:val="0"/>
          <w:shd w:val="clear" w:color="auto" w:fill="auto"/>
          <w:lang w:val="de-DE" w:eastAsia="de-DE" w:bidi="de-DE"/>
        </w:rPr>
        <w:t>Hūzāyā,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27</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another disciple of Narsai,@@</w:t>
      </w:r>
      <w:r>
        <w:rPr>
          <w:spacing w:val="0"/>
          <w:w w:val="100"/>
          <w:position w:val="0"/>
          <w:shd w:val="clear" w:color="auto" w:fill="auto"/>
          <w:vertAlign w:val="superscript"/>
          <w:lang w:val="en-US" w:eastAsia="en-US" w:bidi="en-US"/>
        </w:rPr>
        <w:t xml:space="preserve">28 </w:t>
      </w:r>
      <w:r>
        <w:rPr>
          <w:spacing w:val="0"/>
          <w:w w:val="100"/>
          <w:position w:val="0"/>
          <w:shd w:val="clear" w:color="auto" w:fill="auto"/>
          <w:lang w:val="en-US" w:eastAsia="en-US" w:bidi="en-US"/>
        </w:rPr>
        <w:t xml:space="preserve">and the first Syriac grammarian. Of him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observes@@</w:t>
      </w:r>
      <w:r>
        <w:rPr>
          <w:spacing w:val="0"/>
          <w:w w:val="100"/>
          <w:position w:val="0"/>
          <w:shd w:val="clear" w:color="auto" w:fill="auto"/>
          <w:vertAlign w:val="superscript"/>
          <w:lang w:val="en-US" w:eastAsia="en-US" w:bidi="en-US"/>
        </w:rPr>
        <w:t xml:space="preserve">29 </w:t>
      </w:r>
      <w:r>
        <w:rPr>
          <w:spacing w:val="0"/>
          <w:w w:val="100"/>
          <w:position w:val="0"/>
          <w:shd w:val="clear" w:color="auto" w:fill="auto"/>
          <w:lang w:val="en-US" w:eastAsia="en-US" w:bidi="en-US"/>
        </w:rPr>
        <w:t xml:space="preserve">that “ he changed the </w:t>
      </w:r>
      <w:r>
        <w:rPr>
          <w:spacing w:val="0"/>
          <w:w w:val="100"/>
          <w:position w:val="0"/>
          <w:shd w:val="clear" w:color="auto" w:fill="auto"/>
          <w:lang w:val="la-001" w:eastAsia="la-001" w:bidi="la-001"/>
        </w:rPr>
        <w:t xml:space="preserve">Edessene </w:t>
      </w:r>
      <w:r>
        <w:rPr>
          <w:spacing w:val="0"/>
          <w:w w:val="100"/>
          <w:position w:val="0"/>
          <w:shd w:val="clear" w:color="auto" w:fill="auto"/>
          <w:lang w:val="en-US" w:eastAsia="en-US" w:bidi="en-US"/>
        </w:rPr>
        <w:t>(or Western) mode of reading into the Eastern mode which the Nestorians employ ; otherwise during the whole time of Narsai they used to read like us Westerns.” He was the inventor of some of the Syriac signs of interpunction,@@</w:t>
      </w:r>
      <w:r>
        <w:rPr>
          <w:spacing w:val="0"/>
          <w:w w:val="100"/>
          <w:position w:val="0"/>
          <w:shd w:val="clear" w:color="auto" w:fill="auto"/>
          <w:vertAlign w:val="superscript"/>
          <w:lang w:val="en-US" w:eastAsia="en-US" w:bidi="en-US"/>
        </w:rPr>
        <w:t>3θ</w:t>
      </w:r>
      <w:r>
        <w:rPr>
          <w:spacing w:val="0"/>
          <w:w w:val="100"/>
          <w:position w:val="0"/>
          <w:shd w:val="clear" w:color="auto" w:fill="auto"/>
          <w:lang w:val="en-US" w:eastAsia="en-US" w:bidi="en-US"/>
        </w:rPr>
        <w:t xml:space="preserve"> and wrote a treatise on grammar@@</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and another on words that are spelled with the same letters but have different meanings.@@</w:t>
      </w:r>
      <w:r>
        <w:rPr>
          <w:spacing w:val="0"/>
          <w:w w:val="100"/>
          <w:position w:val="0"/>
          <w:shd w:val="clear" w:color="auto" w:fill="auto"/>
          <w:vertAlign w:val="superscript"/>
          <w:lang w:val="en-US" w:eastAsia="en-US" w:bidi="en-US"/>
        </w:rPr>
        <w:t>32</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Mār-abhā</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33</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Elder,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from 536 to 552, we have already spoken above as a translator of the Scriptures (p. 826). He was a convert from the Zoroastrian religion, and seems to have been a man of great talent and versatility, as he mastered both the Greek and Syriac languages. Receiving baptism at </w:t>
      </w:r>
      <w:r>
        <w:rPr>
          <w:spacing w:val="0"/>
          <w:w w:val="100"/>
          <w:position w:val="0"/>
          <w:shd w:val="clear" w:color="auto" w:fill="auto"/>
          <w:lang w:val="fr-FR" w:eastAsia="fr-FR" w:bidi="fr-FR"/>
        </w:rPr>
        <w:t xml:space="preserve">Hērtā </w:t>
      </w:r>
      <w:r>
        <w:rPr>
          <w:spacing w:val="0"/>
          <w:w w:val="100"/>
          <w:position w:val="0"/>
          <w:shd w:val="clear" w:color="auto" w:fill="auto"/>
          <w:lang w:val="en-US" w:eastAsia="en-US" w:bidi="en-US"/>
        </w:rPr>
        <w:t>(</w:t>
      </w:r>
      <w:r>
        <w:rPr>
          <w:spacing w:val="0"/>
          <w:w w:val="100"/>
          <w:position w:val="0"/>
          <w:shd w:val="clear" w:color="auto" w:fill="auto"/>
          <w:lang w:val="fr-FR" w:eastAsia="fr-FR" w:bidi="fr-FR"/>
        </w:rPr>
        <w:t>al-</w:t>
      </w:r>
      <w:r>
        <w:rPr>
          <w:spacing w:val="0"/>
          <w:w w:val="100"/>
          <w:position w:val="0"/>
          <w:shd w:val="clear" w:color="auto" w:fill="auto"/>
          <w:lang w:val="en-US" w:eastAsia="en-US" w:bidi="en-US"/>
        </w:rPr>
        <w:t>Ḥī</w:t>
      </w:r>
      <w:r>
        <w:rPr>
          <w:spacing w:val="0"/>
          <w:w w:val="100"/>
          <w:position w:val="0"/>
          <w:shd w:val="clear" w:color="auto" w:fill="auto"/>
          <w:lang w:val="fr-FR" w:eastAsia="fr-FR" w:bidi="fr-FR"/>
        </w:rPr>
        <w:t>rah</w:t>
      </w:r>
      <w:r>
        <w:rPr>
          <w:spacing w:val="0"/>
          <w:w w:val="100"/>
          <w:position w:val="0"/>
          <w:shd w:val="clear" w:color="auto" w:fill="auto"/>
          <w:lang w:val="en-US" w:eastAsia="en-US" w:bidi="en-US"/>
        </w:rPr>
        <w:t xml:space="preserve">) from a teacher named Joseph, he went for the purposes of study to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and afterwards to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where he and his teacher Thomas@@</w:t>
      </w:r>
      <w:r>
        <w:rPr>
          <w:spacing w:val="0"/>
          <w:w w:val="100"/>
          <w:position w:val="0"/>
          <w:shd w:val="clear" w:color="auto" w:fill="auto"/>
          <w:vertAlign w:val="superscript"/>
          <w:lang w:val="en-US" w:eastAsia="en-US" w:bidi="en-US"/>
        </w:rPr>
        <w:t>34</w:t>
      </w:r>
      <w:r>
        <w:rPr>
          <w:spacing w:val="0"/>
          <w:w w:val="100"/>
          <w:position w:val="0"/>
          <w:shd w:val="clear" w:color="auto" w:fill="auto"/>
          <w:lang w:val="en-US" w:eastAsia="en-US" w:bidi="en-US"/>
        </w:rPr>
        <w:t xml:space="preserve"> trans</w:t>
        <w:softHyphen/>
        <w:t>lated into Syriac the liturgy of Nestorius.@@</w:t>
      </w:r>
      <w:r>
        <w:rPr>
          <w:spacing w:val="0"/>
          <w:w w:val="100"/>
          <w:position w:val="0"/>
          <w:shd w:val="clear" w:color="auto" w:fill="auto"/>
          <w:vertAlign w:val="superscript"/>
          <w:lang w:val="en-US" w:eastAsia="en-US" w:bidi="en-US"/>
        </w:rPr>
        <w:t>35</w:t>
      </w:r>
      <w:r>
        <w:rPr>
          <w:spacing w:val="0"/>
          <w:w w:val="100"/>
          <w:position w:val="0"/>
          <w:shd w:val="clear" w:color="auto" w:fill="auto"/>
          <w:lang w:val="en-US" w:eastAsia="en-US" w:bidi="en-US"/>
        </w:rPr>
        <w:t xml:space="preserve"> They visited Constanti</w:t>
        <w:softHyphen/>
        <w:t>nople together, and, escaping thence at some risk of their lives, be</w:t>
        <w:softHyphen/>
        <w:t xml:space="preserve">took themselves to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where </w:t>
      </w:r>
      <w:r>
        <w:rPr>
          <w:spacing w:val="0"/>
          <w:w w:val="100"/>
          <w:position w:val="0"/>
          <w:shd w:val="clear" w:color="auto" w:fill="auto"/>
          <w:lang w:val="fr-FR" w:eastAsia="fr-FR" w:bidi="fr-FR"/>
        </w:rPr>
        <w:t xml:space="preserve">Mār-abhā </w:t>
      </w:r>
      <w:r>
        <w:rPr>
          <w:spacing w:val="0"/>
          <w:w w:val="100"/>
          <w:position w:val="0"/>
          <w:shd w:val="clear" w:color="auto" w:fill="auto"/>
          <w:lang w:val="en-US" w:eastAsia="en-US" w:bidi="en-US"/>
        </w:rPr>
        <w:t xml:space="preserve">became eminent as a teacher. On being chosen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he opened a college at Seleucia and lectured there. Unluckily, he got into controversy, it is said, with the Persian monarch Khosrau I. </w:t>
      </w:r>
      <w:r>
        <w:rPr>
          <w:spacing w:val="0"/>
          <w:w w:val="100"/>
          <w:position w:val="0"/>
          <w:shd w:val="clear" w:color="auto" w:fill="auto"/>
          <w:lang w:val="fr-FR" w:eastAsia="fr-FR" w:bidi="fr-FR"/>
        </w:rPr>
        <w:t xml:space="preserve">Anōsharwān </w:t>
      </w:r>
      <w:r>
        <w:rPr>
          <w:spacing w:val="0"/>
          <w:w w:val="100"/>
          <w:position w:val="0"/>
          <w:shd w:val="clear" w:color="auto" w:fill="auto"/>
          <w:lang w:val="en-US" w:eastAsia="en-US" w:bidi="en-US"/>
        </w:rPr>
        <w:t xml:space="preserve">(531-579), who banished him to </w:t>
      </w:r>
      <w:r>
        <w:rPr>
          <w:spacing w:val="0"/>
          <w:w w:val="100"/>
          <w:position w:val="0"/>
          <w:shd w:val="clear" w:color="auto" w:fill="auto"/>
          <w:lang w:val="de-DE" w:eastAsia="de-DE" w:bidi="de-DE"/>
        </w:rPr>
        <w:t xml:space="preserve">ādharbāigān </w:t>
      </w:r>
      <w:r>
        <w:rPr>
          <w:spacing w:val="0"/>
          <w:w w:val="100"/>
          <w:position w:val="0"/>
          <w:shd w:val="clear" w:color="auto" w:fill="auto"/>
          <w:lang w:val="en-US" w:eastAsia="en-US" w:bidi="en-US"/>
        </w:rPr>
        <w:t>(Azerbijan) and destroyed the Nes</w:t>
        <w:softHyphen/>
        <w:t xml:space="preserve">torian church beside his palace at Seleucia. </w:t>
      </w:r>
      <w:r>
        <w:rPr>
          <w:spacing w:val="0"/>
          <w:w w:val="100"/>
          <w:position w:val="0"/>
          <w:shd w:val="clear" w:color="auto" w:fill="auto"/>
          <w:lang w:val="fr-FR" w:eastAsia="fr-FR" w:bidi="fr-FR"/>
        </w:rPr>
        <w:t xml:space="preserve">Mār-abhā, </w:t>
      </w:r>
      <w:r>
        <w:rPr>
          <w:spacing w:val="0"/>
          <w:w w:val="100"/>
          <w:position w:val="0"/>
          <w:shd w:val="clear" w:color="auto" w:fill="auto"/>
          <w:lang w:val="en-US" w:eastAsia="en-US" w:bidi="en-US"/>
        </w:rPr>
        <w:t>however, had the temerity to return to Seleucia, was thrown by the king into prison, and died there.@@</w:t>
      </w:r>
      <w:r>
        <w:rPr>
          <w:spacing w:val="0"/>
          <w:w w:val="100"/>
          <w:position w:val="0"/>
          <w:shd w:val="clear" w:color="auto" w:fill="auto"/>
          <w:vertAlign w:val="superscript"/>
          <w:lang w:val="en-US" w:eastAsia="en-US" w:bidi="en-US"/>
        </w:rPr>
        <w:t>36</w:t>
      </w:r>
      <w:r>
        <w:rPr>
          <w:spacing w:val="0"/>
          <w:w w:val="100"/>
          <w:position w:val="0"/>
          <w:shd w:val="clear" w:color="auto" w:fill="auto"/>
          <w:lang w:val="en-US" w:eastAsia="en-US" w:bidi="en-US"/>
        </w:rPr>
        <w:t xml:space="preserve"> His dead body was carried by one of his disciples to </w:t>
      </w:r>
      <w:r>
        <w:rPr>
          <w:spacing w:val="0"/>
          <w:w w:val="100"/>
          <w:position w:val="0"/>
          <w:shd w:val="clear" w:color="auto" w:fill="auto"/>
          <w:lang w:val="fr-FR" w:eastAsia="fr-FR" w:bidi="fr-FR"/>
        </w:rPr>
        <w:t xml:space="preserve">Hērtā, </w:t>
      </w:r>
      <w:r>
        <w:rPr>
          <w:spacing w:val="0"/>
          <w:w w:val="100"/>
          <w:position w:val="0"/>
          <w:shd w:val="clear" w:color="auto" w:fill="auto"/>
          <w:lang w:val="en-US" w:eastAsia="en-US" w:bidi="en-US"/>
        </w:rPr>
        <w:t>where it was buried and a monastery erected over the grave. He wrote@@</w:t>
      </w:r>
      <w:r>
        <w:rPr>
          <w:spacing w:val="0"/>
          <w:w w:val="100"/>
          <w:position w:val="0"/>
          <w:shd w:val="clear" w:color="auto" w:fill="auto"/>
          <w:vertAlign w:val="superscript"/>
          <w:lang w:val="en-US" w:eastAsia="en-US" w:bidi="en-US"/>
        </w:rPr>
        <w:t>37</w:t>
      </w:r>
      <w:r>
        <w:rPr>
          <w:spacing w:val="0"/>
          <w:w w:val="100"/>
          <w:position w:val="0"/>
          <w:shd w:val="clear" w:color="auto" w:fill="auto"/>
          <w:lang w:val="en-US" w:eastAsia="en-US" w:bidi="en-US"/>
        </w:rPr>
        <w:t xml:space="preserve"> commentaries on Genesis, the Psalms, and Proverbs, and the epistles of St Paul to the Romans, Corinthians, Galatians, Ephesians, Philippians, and Hebrews ; various homilies ; synodical epistles@@</w:t>
      </w:r>
      <w:r>
        <w:rPr>
          <w:spacing w:val="0"/>
          <w:w w:val="100"/>
          <w:position w:val="0"/>
          <w:shd w:val="clear" w:color="auto" w:fill="auto"/>
          <w:vertAlign w:val="superscript"/>
          <w:lang w:val="en-US" w:eastAsia="en-US" w:bidi="en-US"/>
        </w:rPr>
        <w:t>38</w:t>
      </w:r>
      <w:r>
        <w:rPr>
          <w:spacing w:val="0"/>
          <w:w w:val="100"/>
          <w:position w:val="0"/>
          <w:shd w:val="clear" w:color="auto" w:fill="auto"/>
          <w:lang w:val="en-US" w:eastAsia="en-US" w:bidi="en-US"/>
        </w:rPr>
        <w:t>; and ecclesiastical canons.@@</w:t>
      </w:r>
      <w:r>
        <w:rPr>
          <w:spacing w:val="0"/>
          <w:w w:val="100"/>
          <w:position w:val="0"/>
          <w:shd w:val="clear" w:color="auto" w:fill="auto"/>
          <w:vertAlign w:val="superscript"/>
          <w:lang w:val="en-US" w:eastAsia="en-US" w:bidi="en-US"/>
        </w:rPr>
        <w:t>39</w:t>
      </w:r>
      <w:r>
        <w:rPr>
          <w:spacing w:val="0"/>
          <w:w w:val="100"/>
          <w:position w:val="0"/>
          <w:shd w:val="clear" w:color="auto" w:fill="auto"/>
          <w:lang w:val="en-US" w:eastAsia="en-US" w:bidi="en-US"/>
        </w:rPr>
        <w:t xml:space="preserve"> In these last he opposed the practice of marriage at least among the higher orders of the clergy, the bishops and catholics. What is meant by his </w:t>
      </w:r>
      <w:r>
        <w:rPr>
          <w:spacing w:val="0"/>
          <w:w w:val="100"/>
          <w:position w:val="0"/>
          <w:shd w:val="clear" w:color="auto" w:fill="auto"/>
          <w:lang w:val="la-001" w:eastAsia="la-001" w:bidi="la-001"/>
        </w:rPr>
        <w:t xml:space="preserve">“canones </w:t>
      </w:r>
      <w:r>
        <w:rPr>
          <w:spacing w:val="0"/>
          <w:w w:val="100"/>
          <w:position w:val="0"/>
          <w:shd w:val="clear" w:color="auto" w:fill="auto"/>
          <w:lang w:val="en-US" w:eastAsia="en-US" w:bidi="en-US"/>
        </w:rPr>
        <w:t xml:space="preserve">in </w:t>
      </w:r>
      <w:r>
        <w:rPr>
          <w:spacing w:val="0"/>
          <w:w w:val="100"/>
          <w:position w:val="0"/>
          <w:shd w:val="clear" w:color="auto" w:fill="auto"/>
          <w:lang w:val="la-001" w:eastAsia="la-001" w:bidi="la-001"/>
        </w:rPr>
        <w:t xml:space="preserve">totum </w:t>
      </w:r>
      <w:r>
        <w:rPr>
          <w:spacing w:val="0"/>
          <w:w w:val="100"/>
          <w:position w:val="0"/>
          <w:shd w:val="clear" w:color="auto" w:fill="auto"/>
          <w:lang w:val="en-US" w:eastAsia="en-US" w:bidi="en-US"/>
        </w:rPr>
        <w:t>Davidem” may be seen from such MSS. of the</w:t>
      </w:r>
    </w:p>
    <w:p>
      <w:pPr>
        <w:pStyle w:val="Style5"/>
        <w:keepNext w:val="0"/>
        <w:keepLines w:val="0"/>
        <w:widowControl w:val="0"/>
        <w:shd w:val="clear" w:color="auto" w:fill="auto"/>
        <w:tabs>
          <w:tab w:pos="1796" w:val="left"/>
          <w:tab w:pos="3672" w:val="left"/>
        </w:tabs>
        <w:bidi w:val="0"/>
        <w:spacing w:line="240" w:lineRule="auto"/>
        <w:ind w:left="0" w:firstLine="0"/>
        <w:jc w:val="left"/>
      </w:pPr>
      <w:r>
        <w:rPr>
          <w:color w:val="73684C"/>
          <w:spacing w:val="0"/>
          <w:w w:val="100"/>
          <w:position w:val="0"/>
          <w:shd w:val="clear" w:color="auto" w:fill="auto"/>
          <w:lang w:val="en-US" w:eastAsia="en-US" w:bidi="en-US"/>
        </w:rPr>
        <w:t xml:space="preserve">Daliathensis, i.e., from </w:t>
      </w:r>
      <w:r>
        <w:rPr>
          <w:color w:val="73684C"/>
          <w:spacing w:val="0"/>
          <w:w w:val="100"/>
          <w:position w:val="0"/>
          <w:shd w:val="clear" w:color="auto" w:fill="auto"/>
          <w:lang w:val="fr-FR" w:eastAsia="fr-FR" w:bidi="fr-FR"/>
        </w:rPr>
        <w:t>ad-Dāliyah</w:t>
      </w:r>
      <w:r>
        <w:rPr>
          <w:color w:val="73684C"/>
          <w:spacing w:val="0"/>
          <w:w w:val="100"/>
          <w:position w:val="0"/>
          <w:sz w:val="11"/>
          <w:szCs w:val="11"/>
          <w:shd w:val="clear" w:color="auto" w:fill="auto"/>
          <w:lang w:val="en-US" w:eastAsia="en-US" w:bidi="en-US"/>
        </w:rPr>
        <w:t xml:space="preserve">, </w:t>
      </w:r>
      <w:r>
        <w:rPr>
          <w:color w:val="73684C"/>
          <w:spacing w:val="0"/>
          <w:w w:val="100"/>
          <w:position w:val="0"/>
          <w:shd w:val="clear" w:color="auto" w:fill="auto"/>
          <w:lang w:val="en-US" w:eastAsia="en-US" w:bidi="en-US"/>
        </w:rPr>
        <w:t xml:space="preserve">probably meaning </w:t>
      </w:r>
      <w:r>
        <w:rPr>
          <w:color w:val="73684C"/>
          <w:spacing w:val="0"/>
          <w:w w:val="100"/>
          <w:position w:val="0"/>
          <w:shd w:val="clear" w:color="auto" w:fill="auto"/>
          <w:lang w:val="fr-FR" w:eastAsia="fr-FR" w:bidi="fr-FR"/>
        </w:rPr>
        <w:t xml:space="preserve">Dāliyat </w:t>
      </w:r>
      <w:r>
        <w:rPr>
          <w:color w:val="73684C"/>
          <w:spacing w:val="0"/>
          <w:w w:val="100"/>
          <w:position w:val="0"/>
          <w:shd w:val="clear" w:color="auto" w:fill="auto"/>
          <w:lang w:val="en-US" w:eastAsia="en-US" w:bidi="en-US"/>
        </w:rPr>
        <w:t xml:space="preserve">Malik ibn Tauk, on the right bank of the Euphrates below </w:t>
      </w:r>
      <w:r>
        <w:rPr>
          <w:rStyle w:val="CharStyle3"/>
        </w:rPr>
        <w:t>ar-Raḳḳah</w:t>
      </w:r>
      <w:r>
        <w:rPr>
          <w:color w:val="73684C"/>
          <w:spacing w:val="0"/>
          <w:w w:val="100"/>
          <w:position w:val="0"/>
          <w:shd w:val="clear" w:color="auto" w:fill="auto"/>
          <w:lang w:val="en-US" w:eastAsia="en-US" w:bidi="en-US"/>
        </w:rPr>
        <w:t xml:space="preserve"> and Rahbat Malik ibn Tauk. In the Vatican </w:t>
      </w:r>
      <w:r>
        <w:rPr>
          <w:i/>
          <w:iCs/>
          <w:color w:val="73684C"/>
          <w:spacing w:val="0"/>
          <w:w w:val="100"/>
          <w:position w:val="0"/>
          <w:shd w:val="clear" w:color="auto" w:fill="auto"/>
          <w:lang w:val="en-US" w:eastAsia="en-US" w:bidi="en-US"/>
        </w:rPr>
        <w:t>Catalogue</w:t>
      </w:r>
      <w:r>
        <w:rPr>
          <w:color w:val="73684C"/>
          <w:spacing w:val="0"/>
          <w:w w:val="100"/>
          <w:position w:val="0"/>
          <w:shd w:val="clear" w:color="auto" w:fill="auto"/>
          <w:lang w:val="en-US" w:eastAsia="en-US" w:bidi="en-US"/>
        </w:rPr>
        <w:t xml:space="preserve"> he calls him Daliathensis, writing, however, in Syriac. But how can</w:t>
      </w:r>
      <w:r>
        <w:rPr>
          <w:color w:val="73684C"/>
          <w:spacing w:val="0"/>
          <w:w w:val="100"/>
          <w:position w:val="0"/>
          <w:sz w:val="18"/>
          <w:szCs w:val="18"/>
          <w:shd w:val="clear" w:color="auto" w:fill="auto"/>
          <w:lang w:val="en-US" w:eastAsia="en-US" w:bidi="en-US"/>
        </w:rPr>
        <w:tab/>
      </w:r>
      <w:r>
        <w:rPr>
          <w:color w:val="73684C"/>
          <w:spacing w:val="0"/>
          <w:w w:val="100"/>
          <w:position w:val="0"/>
          <w:shd w:val="clear" w:color="auto" w:fill="auto"/>
          <w:lang w:val="en-US" w:eastAsia="en-US" w:bidi="en-US"/>
        </w:rPr>
        <w:t xml:space="preserve">mean “of </w:t>
      </w:r>
      <w:r>
        <w:rPr>
          <w:color w:val="73684C"/>
          <w:spacing w:val="0"/>
          <w:w w:val="100"/>
          <w:position w:val="0"/>
          <w:shd w:val="clear" w:color="auto" w:fill="auto"/>
          <w:lang w:val="fr-FR" w:eastAsia="fr-FR" w:bidi="fr-FR"/>
        </w:rPr>
        <w:t>ad-</w:t>
      </w:r>
    </w:p>
    <w:p>
      <w:pPr>
        <w:pStyle w:val="Style5"/>
        <w:keepNext w:val="0"/>
        <w:keepLines w:val="0"/>
        <w:widowControl w:val="0"/>
        <w:shd w:val="clear" w:color="auto" w:fill="auto"/>
        <w:tabs>
          <w:tab w:pos="4475" w:val="left"/>
        </w:tabs>
        <w:bidi w:val="0"/>
        <w:spacing w:line="187" w:lineRule="auto"/>
        <w:ind w:left="0" w:firstLine="0"/>
        <w:jc w:val="left"/>
      </w:pPr>
      <w:r>
        <w:rPr>
          <w:color w:val="73684C"/>
          <w:spacing w:val="0"/>
          <w:w w:val="100"/>
          <w:position w:val="0"/>
          <w:shd w:val="clear" w:color="auto" w:fill="auto"/>
          <w:lang w:val="fr-FR" w:eastAsia="fr-FR" w:bidi="fr-FR"/>
        </w:rPr>
        <w:t xml:space="preserve">Dāliyah”? </w:t>
      </w:r>
      <w:r>
        <w:rPr>
          <w:color w:val="73684C"/>
          <w:spacing w:val="0"/>
          <w:w w:val="100"/>
          <w:position w:val="0"/>
          <w:shd w:val="clear" w:color="auto" w:fill="auto"/>
          <w:lang w:val="en-US" w:eastAsia="en-US" w:bidi="en-US"/>
        </w:rPr>
        <w:t>Following the analogy of, and the like, it ought rather to mean “John of the</w:t>
      </w:r>
    </w:p>
    <w:p>
      <w:pPr>
        <w:pStyle w:val="Style5"/>
        <w:keepNext w:val="0"/>
        <w:keepLines w:val="0"/>
        <w:widowControl w:val="0"/>
        <w:shd w:val="clear" w:color="auto" w:fill="auto"/>
        <w:bidi w:val="0"/>
        <w:spacing w:line="163" w:lineRule="auto"/>
        <w:ind w:left="0" w:firstLine="0"/>
        <w:jc w:val="left"/>
      </w:pPr>
      <w:r>
        <w:rPr>
          <w:color w:val="73684C"/>
          <w:spacing w:val="0"/>
          <w:w w:val="100"/>
          <w:position w:val="0"/>
          <w:shd w:val="clear" w:color="auto" w:fill="auto"/>
          <w:lang w:val="en-US" w:eastAsia="en-US" w:bidi="en-US"/>
        </w:rPr>
        <w:t>vine-Branches,” or “ John with the varicose veins,” or (as in Arabic) “John of the Buckets.”</w:t>
      </w:r>
    </w:p>
    <w:p>
      <w:pPr>
        <w:pStyle w:val="Style5"/>
        <w:keepNext w:val="0"/>
        <w:keepLines w:val="0"/>
        <w:widowControl w:val="0"/>
        <w:shd w:val="clear" w:color="auto" w:fill="auto"/>
        <w:bidi w:val="0"/>
        <w:spacing w:line="173" w:lineRule="auto"/>
        <w:ind w:left="0" w:firstLine="360"/>
        <w:jc w:val="left"/>
      </w:pPr>
      <w:r>
        <w:rPr>
          <w:color w:val="73684C"/>
          <w:spacing w:val="0"/>
          <w:w w:val="100"/>
          <w:position w:val="0"/>
          <w:shd w:val="clear" w:color="auto" w:fill="auto"/>
          <w:vertAlign w:val="superscript"/>
          <w:lang w:val="en-US" w:eastAsia="en-US" w:bidi="en-US"/>
        </w:rPr>
        <w:t>@@@1</w:t>
      </w:r>
      <w:r>
        <w:rPr>
          <w:color w:val="73684C"/>
          <w:spacing w:val="0"/>
          <w:w w:val="100"/>
          <w:position w:val="0"/>
          <w:shd w:val="clear" w:color="auto" w:fill="auto"/>
          <w:lang w:val="en-US" w:eastAsia="en-US" w:bidi="en-US"/>
        </w:rPr>
        <w:t xml:space="preserve"> See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863, </w:t>
      </w:r>
      <w:r>
        <w:rPr>
          <w:i/>
          <w:iCs/>
          <w:color w:val="73684C"/>
          <w:spacing w:val="0"/>
          <w:w w:val="100"/>
          <w:position w:val="0"/>
          <w:shd w:val="clear" w:color="auto" w:fill="auto"/>
          <w:lang w:val="en-US" w:eastAsia="en-US" w:bidi="en-US"/>
        </w:rPr>
        <w:t>j.</w:t>
      </w:r>
      <w:r>
        <w:rPr>
          <w:color w:val="73684C"/>
          <w:spacing w:val="0"/>
          <w:w w:val="100"/>
          <w:position w:val="0"/>
          <w:shd w:val="clear" w:color="auto" w:fill="auto"/>
          <w:lang w:val="en-US" w:eastAsia="en-US" w:bidi="en-US"/>
        </w:rPr>
        <w:t xml:space="preserve"> In the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 434, Assemani gives an Arabic version of it from a Vatican MS.</w:t>
      </w:r>
    </w:p>
    <w:p>
      <w:pPr>
        <w:pStyle w:val="Style5"/>
        <w:keepNext w:val="0"/>
        <w:keepLines w:val="0"/>
        <w:widowControl w:val="0"/>
        <w:shd w:val="clear" w:color="auto" w:fill="auto"/>
        <w:tabs>
          <w:tab w:pos="2632" w:val="left"/>
        </w:tabs>
        <w:bidi w:val="0"/>
        <w:spacing w:line="182"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2 Fora list of them in Syriac and Arabic, see B.O.,i. 435-444, and comp.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pp. 582,584,860, 870 (No. 16). There is also an </w:t>
      </w:r>
      <w:r>
        <w:rPr>
          <w:color w:val="73684C"/>
          <w:spacing w:val="0"/>
          <w:w w:val="100"/>
          <w:position w:val="0"/>
          <w:shd w:val="clear" w:color="auto" w:fill="auto"/>
          <w:lang w:val="fr-FR" w:eastAsia="fr-FR" w:bidi="fr-FR"/>
        </w:rPr>
        <w:t xml:space="preserve">Ethiopie </w:t>
      </w:r>
      <w:r>
        <w:rPr>
          <w:color w:val="73684C"/>
          <w:spacing w:val="0"/>
          <w:w w:val="100"/>
          <w:position w:val="0"/>
          <w:shd w:val="clear" w:color="auto" w:fill="auto"/>
          <w:lang w:val="en-US" w:eastAsia="en-US" w:bidi="en-US"/>
        </w:rPr>
        <w:t xml:space="preserve">version,, </w:t>
      </w:r>
      <w:r>
        <w:rPr>
          <w:i/>
          <w:iCs/>
          <w:color w:val="73684C"/>
          <w:spacing w:val="0"/>
          <w:w w:val="100"/>
          <w:position w:val="0"/>
          <w:shd w:val="clear" w:color="auto" w:fill="auto"/>
          <w:lang w:val="fr-FR" w:eastAsia="fr-FR" w:bidi="fr-FR"/>
        </w:rPr>
        <w:t>Aragāwī Manfasāwī,</w:t>
      </w:r>
      <w:r>
        <w:rPr>
          <w:color w:val="73684C"/>
          <w:spacing w:val="0"/>
          <w:w w:val="100"/>
          <w:position w:val="0"/>
          <w:shd w:val="clear" w:color="auto" w:fill="auto"/>
          <w:lang w:val="fr-FR" w:eastAsia="fr-FR" w:bidi="fr-FR"/>
        </w:rPr>
        <w:t xml:space="preserve"> </w:t>
      </w:r>
      <w:r>
        <w:rPr>
          <w:color w:val="73684C"/>
          <w:spacing w:val="0"/>
          <w:w w:val="100"/>
          <w:position w:val="0"/>
          <w:shd w:val="clear" w:color="auto" w:fill="auto"/>
          <w:lang w:val="en-US" w:eastAsia="en-US" w:bidi="en-US"/>
        </w:rPr>
        <w:t xml:space="preserve">made from the Arabic ; see Zotenberg, </w:t>
      </w:r>
      <w:r>
        <w:rPr>
          <w:i/>
          <w:iCs/>
          <w:color w:val="73684C"/>
          <w:spacing w:val="0"/>
          <w:w w:val="100"/>
          <w:position w:val="0"/>
          <w:shd w:val="clear" w:color="auto" w:fill="auto"/>
          <w:lang w:val="en-US" w:eastAsia="en-US" w:bidi="en-US"/>
        </w:rPr>
        <w:t xml:space="preserve">Catal. ties MSS. </w:t>
      </w:r>
      <w:r>
        <w:rPr>
          <w:i/>
          <w:iCs/>
          <w:color w:val="73684C"/>
          <w:spacing w:val="0"/>
          <w:w w:val="100"/>
          <w:position w:val="0"/>
          <w:shd w:val="clear" w:color="auto" w:fill="auto"/>
          <w:lang w:val="fr-FR" w:eastAsia="fr-FR" w:bidi="fr-FR"/>
        </w:rPr>
        <w:t xml:space="preserve">Ethiopiens de </w:t>
      </w:r>
      <w:r>
        <w:rPr>
          <w:i/>
          <w:iCs/>
          <w:color w:val="73684C"/>
          <w:spacing w:val="0"/>
          <w:w w:val="100"/>
          <w:position w:val="0"/>
          <w:shd w:val="clear" w:color="auto" w:fill="auto"/>
          <w:lang w:val="en-US" w:eastAsia="en-US" w:bidi="en-US"/>
        </w:rPr>
        <w:t xml:space="preserve">la </w:t>
      </w:r>
      <w:r>
        <w:rPr>
          <w:i/>
          <w:iCs/>
          <w:color w:val="73684C"/>
          <w:spacing w:val="0"/>
          <w:w w:val="100"/>
          <w:position w:val="0"/>
          <w:shd w:val="clear" w:color="auto" w:fill="auto"/>
          <w:lang w:val="de-DE" w:eastAsia="de-DE" w:bidi="de-DE"/>
        </w:rPr>
        <w:t>Bibl. Nation.,</w:t>
      </w:r>
      <w:r>
        <w:rPr>
          <w:color w:val="73684C"/>
          <w:spacing w:val="0"/>
          <w:w w:val="100"/>
          <w:position w:val="0"/>
          <w:shd w:val="clear" w:color="auto" w:fill="auto"/>
          <w:lang w:val="de-DE" w:eastAsia="de-DE" w:bidi="de-DE"/>
        </w:rPr>
        <w:t xml:space="preserve"> No. </w:t>
      </w:r>
      <w:r>
        <w:rPr>
          <w:color w:val="73684C"/>
          <w:spacing w:val="0"/>
          <w:w w:val="100"/>
          <w:position w:val="0"/>
          <w:shd w:val="clear" w:color="auto" w:fill="auto"/>
          <w:lang w:val="en-US" w:eastAsia="en-US" w:bidi="en-US"/>
        </w:rPr>
        <w:t xml:space="preserve">115, </w:t>
      </w:r>
      <w:r>
        <w:rPr>
          <w:color w:val="73684C"/>
          <w:spacing w:val="0"/>
          <w:w w:val="100"/>
          <w:position w:val="0"/>
          <w:shd w:val="clear" w:color="auto" w:fill="auto"/>
          <w:lang w:val="de-DE" w:eastAsia="de-DE" w:bidi="de-DE"/>
        </w:rPr>
        <w:t xml:space="preserve">p. </w:t>
      </w:r>
      <w:r>
        <w:rPr>
          <w:color w:val="73684C"/>
          <w:spacing w:val="0"/>
          <w:w w:val="100"/>
          <w:position w:val="0"/>
          <w:shd w:val="clear" w:color="auto" w:fill="auto"/>
          <w:lang w:val="en-US" w:eastAsia="en-US" w:bidi="en-US"/>
        </w:rPr>
        <w:t>134.</w:t>
      </w:r>
    </w:p>
    <w:p>
      <w:pPr>
        <w:pStyle w:val="Style5"/>
        <w:keepNext w:val="0"/>
        <w:keepLines w:val="0"/>
        <w:widowControl w:val="0"/>
        <w:shd w:val="clear" w:color="auto" w:fill="auto"/>
        <w:tabs>
          <w:tab w:pos="2792" w:val="left"/>
        </w:tabs>
        <w:bidi w:val="0"/>
        <w:spacing w:line="182"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3 B.O.</w:t>
      </w:r>
      <w:r>
        <w:rPr>
          <w:color w:val="73684C"/>
          <w:spacing w:val="0"/>
          <w:w w:val="100"/>
          <w:position w:val="0"/>
          <w:shd w:val="clear" w:color="auto" w:fill="auto"/>
          <w:vertAlign w:val="subscript"/>
          <w:lang w:val="en-US" w:eastAsia="en-US" w:bidi="en-US"/>
        </w:rPr>
        <w:t>j</w:t>
      </w:r>
      <w:r>
        <w:rPr>
          <w:color w:val="73684C"/>
          <w:spacing w:val="0"/>
          <w:w w:val="100"/>
          <w:position w:val="0"/>
          <w:shd w:val="clear" w:color="auto" w:fill="auto"/>
          <w:lang w:val="en-US" w:eastAsia="en-US" w:bidi="en-US"/>
        </w:rPr>
        <w:t xml:space="preserve"> </w:t>
      </w:r>
      <w:r>
        <w:rPr>
          <w:color w:val="73684C"/>
          <w:spacing w:val="0"/>
          <w:w w:val="100"/>
          <w:position w:val="0"/>
          <w:shd w:val="clear" w:color="auto" w:fill="auto"/>
          <w:lang w:val="de-DE" w:eastAsia="de-DE" w:bidi="de-DE"/>
        </w:rPr>
        <w:t xml:space="preserve">j. </w:t>
      </w:r>
      <w:r>
        <w:rPr>
          <w:color w:val="73684C"/>
          <w:spacing w:val="0"/>
          <w:w w:val="100"/>
          <w:position w:val="0"/>
          <w:shd w:val="clear" w:color="auto" w:fill="auto"/>
          <w:lang w:val="en-US" w:eastAsia="en-US" w:bidi="en-US"/>
        </w:rPr>
        <w:t>444.</w:t>
      </w:r>
    </w:p>
    <w:p>
      <w:pPr>
        <w:pStyle w:val="Style5"/>
        <w:keepNext w:val="0"/>
        <w:keepLines w:val="0"/>
        <w:widowControl w:val="0"/>
        <w:shd w:val="clear" w:color="auto" w:fill="auto"/>
        <w:tabs>
          <w:tab w:pos="2122" w:val="left"/>
        </w:tabs>
        <w:bidi w:val="0"/>
        <w:spacing w:line="182" w:lineRule="auto"/>
        <w:ind w:left="0" w:firstLine="360"/>
        <w:jc w:val="left"/>
      </w:pPr>
      <w:r>
        <w:rPr>
          <w:color w:val="73684C"/>
          <w:spacing w:val="0"/>
          <w:w w:val="100"/>
          <w:position w:val="0"/>
          <w:shd w:val="clear" w:color="auto" w:fill="auto"/>
          <w:vertAlign w:val="superscript"/>
          <w:lang w:val="en-US" w:eastAsia="en-US" w:bidi="en-US"/>
        </w:rPr>
        <w:t>@@@</w:t>
      </w:r>
      <w:r>
        <w:rPr>
          <w:i/>
          <w:iCs/>
          <w:color w:val="73684C"/>
          <w:spacing w:val="0"/>
          <w:w w:val="100"/>
          <w:position w:val="0"/>
          <w:shd w:val="clear" w:color="auto" w:fill="auto"/>
          <w:vertAlign w:val="superscript"/>
          <w:lang w:val="en-US" w:eastAsia="en-US" w:bidi="en-US"/>
        </w:rPr>
        <w:t>4</w:t>
      </w:r>
      <w:r>
        <w:rPr>
          <w:i/>
          <w:iCs/>
          <w:color w:val="73684C"/>
          <w:spacing w:val="0"/>
          <w:w w:val="100"/>
          <w:position w:val="0"/>
          <w:shd w:val="clear" w:color="auto" w:fill="auto"/>
          <w:lang w:val="en-US" w:eastAsia="en-US" w:bidi="en-US"/>
        </w:rPr>
        <w:t xml:space="preserve"> Ibid.,</w:t>
      </w:r>
      <w:r>
        <w:rPr>
          <w:color w:val="73684C"/>
          <w:spacing w:val="0"/>
          <w:w w:val="100"/>
          <w:position w:val="0"/>
          <w:shd w:val="clear" w:color="auto" w:fill="auto"/>
          <w:lang w:val="en-US" w:eastAsia="en-US" w:bidi="en-US"/>
        </w:rPr>
        <w:t xml:space="preserve"> </w:t>
      </w:r>
      <w:r>
        <w:rPr>
          <w:color w:val="73684C"/>
          <w:spacing w:val="0"/>
          <w:w w:val="100"/>
          <w:position w:val="0"/>
          <w:shd w:val="clear" w:color="auto" w:fill="auto"/>
          <w:lang w:val="de-DE" w:eastAsia="de-DE" w:bidi="de-DE"/>
        </w:rPr>
        <w:t xml:space="preserve">iii. </w:t>
      </w:r>
      <w:r>
        <w:rPr>
          <w:color w:val="73684C"/>
          <w:spacing w:val="0"/>
          <w:w w:val="100"/>
          <w:position w:val="0"/>
          <w:shd w:val="clear" w:color="auto" w:fill="auto"/>
          <w:lang w:val="en-US" w:eastAsia="en-US" w:bidi="en-US"/>
        </w:rPr>
        <w:t>1, 104.</w:t>
        <w:tab/>
      </w:r>
    </w:p>
    <w:p>
      <w:pPr>
        <w:pStyle w:val="Style5"/>
        <w:keepNext w:val="0"/>
        <w:keepLines w:val="0"/>
        <w:widowControl w:val="0"/>
        <w:shd w:val="clear" w:color="auto" w:fill="auto"/>
        <w:tabs>
          <w:tab w:pos="2122" w:val="left"/>
        </w:tabs>
        <w:bidi w:val="0"/>
        <w:spacing w:line="182"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5 Wright, </w:t>
      </w:r>
      <w:r>
        <w:rPr>
          <w:i/>
          <w:iCs/>
          <w:color w:val="73684C"/>
          <w:spacing w:val="0"/>
          <w:w w:val="100"/>
          <w:position w:val="0"/>
          <w:shd w:val="clear" w:color="auto" w:fill="auto"/>
          <w:lang w:val="de-DE" w:eastAsia="de-DE" w:bidi="de-DE"/>
        </w:rPr>
        <w:t>Catal.,</w:t>
      </w:r>
      <w:r>
        <w:rPr>
          <w:color w:val="73684C"/>
          <w:spacing w:val="0"/>
          <w:w w:val="100"/>
          <w:position w:val="0"/>
          <w:shd w:val="clear" w:color="auto" w:fill="auto"/>
          <w:lang w:val="de-DE" w:eastAsia="de-DE" w:bidi="de-DE"/>
        </w:rPr>
        <w:t xml:space="preserve"> pp. </w:t>
      </w:r>
      <w:r>
        <w:rPr>
          <w:color w:val="73684C"/>
          <w:spacing w:val="0"/>
          <w:w w:val="100"/>
          <w:position w:val="0"/>
          <w:shd w:val="clear" w:color="auto" w:fill="auto"/>
          <w:lang w:val="en-US" w:eastAsia="en-US" w:bidi="en-US"/>
        </w:rPr>
        <w:t>569, 576.</w:t>
      </w:r>
    </w:p>
    <w:p>
      <w:pPr>
        <w:pStyle w:val="Style5"/>
        <w:keepNext w:val="0"/>
        <w:keepLines w:val="0"/>
        <w:widowControl w:val="0"/>
        <w:shd w:val="clear" w:color="auto" w:fill="auto"/>
        <w:tabs>
          <w:tab w:pos="2606" w:val="left"/>
        </w:tabs>
        <w:bidi w:val="0"/>
        <w:spacing w:line="276"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6 </w:t>
      </w:r>
      <w:r>
        <w:rPr>
          <w:color w:val="73684C"/>
          <w:spacing w:val="0"/>
          <w:w w:val="100"/>
          <w:position w:val="0"/>
          <w:shd w:val="clear" w:color="auto" w:fill="auto"/>
          <w:lang w:val="de-DE" w:eastAsia="de-DE" w:bidi="de-DE"/>
        </w:rPr>
        <w:t xml:space="preserve">Also </w:t>
      </w:r>
      <w:r>
        <w:rPr>
          <w:color w:val="73684C"/>
          <w:spacing w:val="0"/>
          <w:w w:val="100"/>
          <w:position w:val="0"/>
          <w:shd w:val="clear" w:color="auto" w:fill="auto"/>
          <w:lang w:val="en-US" w:eastAsia="en-US" w:bidi="en-US"/>
        </w:rPr>
        <w:t xml:space="preserve">written </w:t>
      </w:r>
      <w:r>
        <w:rPr>
          <w:color w:val="73684C"/>
          <w:spacing w:val="0"/>
          <w:w w:val="100"/>
          <w:position w:val="0"/>
          <w:shd w:val="clear" w:color="auto" w:fill="auto"/>
          <w:lang w:val="de-DE" w:eastAsia="de-DE" w:bidi="de-DE"/>
        </w:rPr>
        <w:t xml:space="preserve">Nethpar and Nephrath ; </w:t>
      </w:r>
      <w:r>
        <w:rPr>
          <w:color w:val="73684C"/>
          <w:spacing w:val="0"/>
          <w:w w:val="100"/>
          <w:position w:val="0"/>
          <w:shd w:val="clear" w:color="auto" w:fill="auto"/>
          <w:lang w:val="en-US" w:eastAsia="en-US" w:bidi="en-US"/>
        </w:rPr>
        <w:t xml:space="preserve">see Assemani, </w:t>
      </w:r>
      <w:r>
        <w:rPr>
          <w:i/>
          <w:iCs/>
          <w:color w:val="73684C"/>
          <w:spacing w:val="0"/>
          <w:w w:val="100"/>
          <w:position w:val="0"/>
          <w:shd w:val="clear" w:color="auto" w:fill="auto"/>
          <w:lang w:val="en-US" w:eastAsia="en-US" w:bidi="en-US"/>
        </w:rPr>
        <w:t>Catal. Vat.,</w:t>
      </w:r>
      <w:r>
        <w:rPr>
          <w:color w:val="73684C"/>
          <w:spacing w:val="0"/>
          <w:w w:val="100"/>
          <w:position w:val="0"/>
          <w:shd w:val="clear" w:color="auto" w:fill="auto"/>
          <w:lang w:val="en-US" w:eastAsia="en-US" w:bidi="en-US"/>
        </w:rPr>
        <w:t xml:space="preserve"> iii. 138. But, as we can find no trace of any such town as Nephtar, the name of may have some other origin.</w:t>
        <w:tab/>
      </w:r>
    </w:p>
    <w:p>
      <w:pPr>
        <w:pStyle w:val="Style5"/>
        <w:keepNext w:val="0"/>
        <w:keepLines w:val="0"/>
        <w:widowControl w:val="0"/>
        <w:shd w:val="clear" w:color="auto" w:fill="auto"/>
        <w:tabs>
          <w:tab w:pos="2766" w:val="left"/>
        </w:tabs>
        <w:bidi w:val="0"/>
        <w:spacing w:line="276" w:lineRule="auto"/>
        <w:ind w:left="0" w:firstLine="360"/>
        <w:jc w:val="left"/>
      </w:pPr>
      <w:r>
        <w:rPr>
          <w:color w:val="73684C"/>
          <w:spacing w:val="0"/>
          <w:w w:val="100"/>
          <w:position w:val="0"/>
          <w:shd w:val="clear" w:color="auto" w:fill="auto"/>
          <w:vertAlign w:val="superscript"/>
          <w:lang w:val="en-US" w:eastAsia="en-US" w:bidi="en-US"/>
        </w:rPr>
        <w:t>@@@</w:t>
      </w:r>
      <w:r>
        <w:rPr>
          <w:rFonts w:ascii="Arial" w:eastAsia="Arial" w:hAnsi="Arial" w:cs="Arial"/>
          <w:color w:val="73684C"/>
          <w:spacing w:val="0"/>
          <w:w w:val="100"/>
          <w:position w:val="0"/>
          <w:sz w:val="8"/>
          <w:szCs w:val="8"/>
          <w:shd w:val="clear" w:color="auto" w:fill="auto"/>
          <w:lang w:val="en-US" w:eastAsia="en-US" w:bidi="en-US"/>
        </w:rPr>
        <w:t xml:space="preserve">7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iii. 1,191, note 1.</w:t>
      </w:r>
    </w:p>
    <w:p>
      <w:pPr>
        <w:pStyle w:val="Style5"/>
        <w:keepNext w:val="0"/>
        <w:keepLines w:val="0"/>
        <w:widowControl w:val="0"/>
        <w:shd w:val="clear" w:color="auto" w:fill="auto"/>
        <w:tabs>
          <w:tab w:pos="3263" w:val="left"/>
        </w:tabs>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8 Compare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187, No. 154.</w:t>
        <w:tab/>
      </w:r>
    </w:p>
    <w:p>
      <w:pPr>
        <w:pStyle w:val="Style5"/>
        <w:keepNext w:val="0"/>
        <w:keepLines w:val="0"/>
        <w:widowControl w:val="0"/>
        <w:shd w:val="clear" w:color="auto" w:fill="auto"/>
        <w:tabs>
          <w:tab w:pos="3263" w:val="left"/>
        </w:tabs>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9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iii. 1,191.</w:t>
      </w:r>
    </w:p>
    <w:p>
      <w:pPr>
        <w:pStyle w:val="Style5"/>
        <w:keepNext w:val="0"/>
        <w:keepLines w:val="0"/>
        <w:widowControl w:val="0"/>
        <w:shd w:val="clear" w:color="auto" w:fill="auto"/>
        <w:bidi w:val="0"/>
        <w:spacing w:line="202"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ιθ There seem to be ten in Cod. Vat. ccccxix. ; see Mai, </w:t>
      </w:r>
      <w:r>
        <w:rPr>
          <w:i/>
          <w:iCs/>
          <w:color w:val="73684C"/>
          <w:spacing w:val="0"/>
          <w:w w:val="100"/>
          <w:position w:val="0"/>
          <w:shd w:val="clear" w:color="auto" w:fill="auto"/>
          <w:lang w:val="en-US" w:eastAsia="en-US" w:bidi="en-US"/>
        </w:rPr>
        <w:t>Scriptt. Vett. Nova Coll.,</w:t>
      </w:r>
    </w:p>
    <w:p>
      <w:pPr>
        <w:pStyle w:val="Style5"/>
        <w:keepNext w:val="0"/>
        <w:keepLines w:val="0"/>
        <w:widowControl w:val="0"/>
        <w:shd w:val="clear" w:color="auto" w:fill="auto"/>
        <w:bidi w:val="0"/>
        <w:spacing w:line="180" w:lineRule="auto"/>
        <w:ind w:left="0" w:firstLine="0"/>
        <w:jc w:val="left"/>
      </w:pPr>
      <w:r>
        <w:rPr>
          <w:color w:val="73684C"/>
          <w:spacing w:val="0"/>
          <w:w w:val="100"/>
          <w:position w:val="0"/>
          <w:shd w:val="clear" w:color="auto" w:fill="auto"/>
          <w:lang w:val="en-US" w:eastAsia="en-US" w:bidi="en-US"/>
        </w:rPr>
        <w:t>V. 65.</w:t>
      </w:r>
    </w:p>
    <w:p>
      <w:pPr>
        <w:pStyle w:val="Style5"/>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11 Cod. Vat. cvii.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iii. 53) ; Guidi, </w:t>
      </w:r>
      <w:r>
        <w:rPr>
          <w:i/>
          <w:iCs/>
          <w:color w:val="73684C"/>
          <w:spacing w:val="0"/>
          <w:w w:val="100"/>
          <w:position w:val="0"/>
          <w:shd w:val="clear" w:color="auto" w:fill="auto"/>
          <w:lang w:val="en-US" w:eastAsia="en-US" w:bidi="en-US"/>
        </w:rPr>
        <w:t>Rendiconti della R. Accademia dei Bincei,</w:t>
      </w:r>
      <w:r>
        <w:rPr>
          <w:color w:val="73684C"/>
          <w:spacing w:val="0"/>
          <w:w w:val="100"/>
          <w:position w:val="0"/>
          <w:shd w:val="clear" w:color="auto" w:fill="auto"/>
          <w:lang w:val="en-US" w:eastAsia="en-US" w:bidi="en-US"/>
        </w:rPr>
        <w:t xml:space="preserve"> May and June, 1886, p. 399 </w:t>
      </w:r>
      <w:r>
        <w:rPr>
          <w:i/>
          <w:iCs/>
          <w:color w:val="73684C"/>
          <w:spacing w:val="0"/>
          <w:w w:val="100"/>
          <w:position w:val="0"/>
          <w:shd w:val="clear" w:color="auto" w:fill="auto"/>
          <w:lang w:val="en-US" w:eastAsia="en-US" w:bidi="en-US"/>
        </w:rPr>
        <w:t>sq.</w:t>
      </w:r>
    </w:p>
    <w:p>
      <w:pPr>
        <w:pStyle w:val="Style5"/>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12 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12166, ff. 155-258, bears date 553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491).</w:t>
      </w:r>
    </w:p>
    <w:p>
      <w:pPr>
        <w:pStyle w:val="Style5"/>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13 Of the Vatican MS. of the </w:t>
      </w:r>
      <w:r>
        <w:rPr>
          <w:i/>
          <w:iCs/>
          <w:color w:val="73684C"/>
          <w:spacing w:val="0"/>
          <w:w w:val="100"/>
          <w:position w:val="0"/>
          <w:shd w:val="clear" w:color="auto" w:fill="auto"/>
          <w:lang w:val="en-US" w:eastAsia="en-US" w:bidi="en-US"/>
        </w:rPr>
        <w:t>Glaphyra</w:t>
      </w:r>
      <w:r>
        <w:rPr>
          <w:color w:val="73684C"/>
          <w:spacing w:val="0"/>
          <w:w w:val="100"/>
          <w:position w:val="0"/>
          <w:shd w:val="clear" w:color="auto" w:fill="auto"/>
          <w:lang w:val="en-US" w:eastAsia="en-US" w:bidi="en-US"/>
        </w:rPr>
        <w:t xml:space="preserve"> only five leaves remain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iii. 54), and the MS. in the British Museum, Add. 14555, is very imperfect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483). As Guidi has shown, these two MSS. are merely the </w:t>
      </w:r>
      <w:r>
        <w:rPr>
          <w:i/>
          <w:iCs/>
          <w:color w:val="73684C"/>
          <w:spacing w:val="0"/>
          <w:w w:val="100"/>
          <w:position w:val="0"/>
          <w:shd w:val="clear" w:color="auto" w:fill="auto"/>
          <w:lang w:val="en-US" w:eastAsia="en-US" w:bidi="en-US"/>
        </w:rPr>
        <w:t>disjecta membra</w:t>
      </w:r>
      <w:r>
        <w:rPr>
          <w:color w:val="73684C"/>
          <w:spacing w:val="0"/>
          <w:w w:val="100"/>
          <w:position w:val="0"/>
          <w:shd w:val="clear" w:color="auto" w:fill="auto"/>
          <w:lang w:val="en-US" w:eastAsia="en-US" w:bidi="en-US"/>
        </w:rPr>
        <w:t xml:space="preserve"> of one codex. </w:t>
      </w:r>
    </w:p>
    <w:p>
      <w:pPr>
        <w:pStyle w:val="Style5"/>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14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 69, 332 ;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 250.</w:t>
      </w:r>
    </w:p>
    <w:p>
      <w:pPr>
        <w:pStyle w:val="Style5"/>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15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 77-82 ; comp.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 257. </w:t>
      </w:r>
    </w:p>
    <w:p>
      <w:pPr>
        <w:pStyle w:val="Style5"/>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M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 77</w:t>
      </w:r>
    </w:p>
    <w:p>
      <w:pPr>
        <w:pStyle w:val="Style5"/>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17 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12155, f. 231b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951).</w:t>
      </w:r>
    </w:p>
    <w:p>
      <w:pPr>
        <w:pStyle w:val="Style5"/>
        <w:keepNext w:val="0"/>
        <w:keepLines w:val="0"/>
        <w:widowControl w:val="0"/>
        <w:shd w:val="clear" w:color="auto" w:fill="auto"/>
        <w:tabs>
          <w:tab w:pos="1830" w:val="left"/>
        </w:tabs>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color w:val="73684C"/>
          <w:spacing w:val="0"/>
          <w:w w:val="100"/>
          <w:position w:val="0"/>
          <w:shd w:val="clear" w:color="auto" w:fill="auto"/>
          <w:lang w:val="en-US" w:eastAsia="en-US" w:bidi="en-US"/>
        </w:rPr>
        <w:t xml:space="preserve">18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1314.</w:t>
        <w:tab/>
      </w:r>
    </w:p>
    <w:p>
      <w:pPr>
        <w:pStyle w:val="Style5"/>
        <w:keepNext w:val="0"/>
        <w:keepLines w:val="0"/>
        <w:widowControl w:val="0"/>
        <w:shd w:val="clear" w:color="auto" w:fill="auto"/>
        <w:tabs>
          <w:tab w:pos="1830" w:val="left"/>
        </w:tabs>
        <w:bidi w:val="0"/>
        <w:spacing w:line="187" w:lineRule="auto"/>
        <w:ind w:left="0" w:firstLine="360"/>
        <w:jc w:val="left"/>
      </w:pPr>
      <w:r>
        <w:rPr>
          <w:color w:val="73684C"/>
          <w:spacing w:val="0"/>
          <w:w w:val="100"/>
          <w:position w:val="0"/>
          <w:shd w:val="clear" w:color="auto" w:fill="auto"/>
          <w:vertAlign w:val="superscript"/>
          <w:lang w:val="en-US" w:eastAsia="en-US" w:bidi="en-US"/>
        </w:rPr>
        <w:t>@@@</w:t>
      </w:r>
      <w:r>
        <w:rPr>
          <w:rFonts w:ascii="Arial" w:eastAsia="Arial" w:hAnsi="Arial" w:cs="Arial"/>
          <w:color w:val="73684C"/>
          <w:spacing w:val="0"/>
          <w:w w:val="100"/>
          <w:position w:val="0"/>
          <w:sz w:val="8"/>
          <w:szCs w:val="8"/>
          <w:shd w:val="clear" w:color="auto" w:fill="auto"/>
          <w:lang w:val="en-US" w:eastAsia="en-US" w:bidi="en-US"/>
        </w:rPr>
        <w:t xml:space="preserve">19 </w:t>
      </w:r>
      <w:r>
        <w:rPr>
          <w:color w:val="73684C"/>
          <w:spacing w:val="0"/>
          <w:w w:val="100"/>
          <w:position w:val="0"/>
          <w:shd w:val="clear" w:color="auto" w:fill="auto"/>
          <w:lang w:val="en-US" w:eastAsia="en-US" w:bidi="en-US"/>
        </w:rPr>
        <w:t xml:space="preserve">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14591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671).</w:t>
      </w:r>
    </w:p>
    <w:p>
      <w:pPr>
        <w:pStyle w:val="Style5"/>
        <w:keepNext w:val="0"/>
        <w:keepLines w:val="0"/>
        <w:widowControl w:val="0"/>
        <w:shd w:val="clear" w:color="auto" w:fill="auto"/>
        <w:tabs>
          <w:tab w:pos="335" w:val="left"/>
        </w:tabs>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20</w:t>
      </w:r>
      <w:r>
        <w:rPr>
          <w:i/>
          <w:iCs/>
          <w:spacing w:val="0"/>
          <w:w w:val="100"/>
          <w:position w:val="0"/>
          <w:shd w:val="clear" w:color="auto" w:fill="auto"/>
          <w:lang w:val="en-US" w:eastAsia="en-US" w:bidi="en-US"/>
        </w:rPr>
        <w:tab/>
        <w:t>B.O.,</w:t>
      </w:r>
      <w:r>
        <w:rPr>
          <w:spacing w:val="0"/>
          <w:w w:val="100"/>
          <w:position w:val="0"/>
          <w:shd w:val="clear" w:color="auto" w:fill="auto"/>
          <w:lang w:val="en-US" w:eastAsia="en-US" w:bidi="en-US"/>
        </w:rPr>
        <w:t xml:space="preserve"> ii. 333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259.</w:t>
      </w:r>
    </w:p>
    <w:p>
      <w:pPr>
        <w:pStyle w:val="Style5"/>
        <w:keepNext w:val="0"/>
        <w:keepLines w:val="0"/>
        <w:widowControl w:val="0"/>
        <w:shd w:val="clear" w:color="auto" w:fill="auto"/>
        <w:tabs>
          <w:tab w:pos="274" w:val="left"/>
        </w:tabs>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21</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w:t>
      </w:r>
      <w:r>
        <w:rPr>
          <w:spacing w:val="0"/>
          <w:w w:val="100"/>
          <w:position w:val="0"/>
          <w:shd w:val="clear" w:color="auto" w:fill="auto"/>
          <w:lang w:val="fr-FR" w:eastAsia="fr-FR" w:bidi="fr-FR"/>
        </w:rPr>
        <w:t xml:space="preserve">7ī. </w:t>
      </w:r>
      <w:r>
        <w:rPr>
          <w:spacing w:val="0"/>
          <w:w w:val="100"/>
          <w:position w:val="0"/>
          <w:shd w:val="clear" w:color="auto" w:fill="auto"/>
          <w:lang w:val="en-US" w:eastAsia="en-US" w:bidi="en-US"/>
        </w:rPr>
        <w:t xml:space="preserve">Assemani would seem to have confounded him with a later Abraham of </w:t>
      </w:r>
      <w:r>
        <w:rPr>
          <w:rStyle w:val="CharStyle3"/>
          <w:lang w:val="fr-FR" w:eastAsia="fr-FR" w:bidi="fr-FR"/>
        </w:rPr>
        <w:t>B</w:t>
      </w:r>
      <w:r>
        <w:rPr>
          <w:rStyle w:val="CharStyle3"/>
        </w:rPr>
        <w:t>ē</w:t>
      </w:r>
      <w:r>
        <w:rPr>
          <w:rStyle w:val="CharStyle3"/>
          <w:lang w:val="fr-FR" w:eastAsia="fr-FR" w:bidi="fr-FR"/>
        </w:rPr>
        <w:t>th</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Rabban ; see his note,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631.</w:t>
      </w:r>
    </w:p>
    <w:p>
      <w:pPr>
        <w:pStyle w:val="Style5"/>
        <w:keepNext w:val="0"/>
        <w:keepLines w:val="0"/>
        <w:widowControl w:val="0"/>
        <w:shd w:val="clear" w:color="auto" w:fill="auto"/>
        <w:tabs>
          <w:tab w:pos="277" w:val="left"/>
        </w:tabs>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ab/>
        <w:t xml:space="preserve">There seems to be no reason for identifying him with Abraham “the Mede," whom Simeon of </w:t>
      </w:r>
      <w:r>
        <w:rPr>
          <w:spacing w:val="0"/>
          <w:w w:val="100"/>
          <w:position w:val="0"/>
          <w:shd w:val="clear" w:color="auto" w:fill="auto"/>
          <w:lang w:val="fr-FR" w:eastAsia="fr-FR" w:bidi="fr-FR"/>
        </w:rPr>
        <w:t xml:space="preserve">Béth </w:t>
      </w:r>
      <w:r>
        <w:rPr>
          <w:spacing w:val="0"/>
          <w:w w:val="100"/>
          <w:position w:val="0"/>
          <w:shd w:val="clear" w:color="auto" w:fill="auto"/>
          <w:lang w:val="de-DE" w:eastAsia="de-DE" w:bidi="de-DE"/>
        </w:rPr>
        <w:t xml:space="preserve">Arshām </w:t>
      </w:r>
      <w:r>
        <w:rPr>
          <w:spacing w:val="0"/>
          <w:w w:val="100"/>
          <w:position w:val="0"/>
          <w:shd w:val="clear" w:color="auto" w:fill="auto"/>
          <w:lang w:val="en-US" w:eastAsia="en-US" w:bidi="en-US"/>
        </w:rPr>
        <w:t xml:space="preserve">nicknames “ the Heater of Baths </w:t>
      </w:r>
      <w:r>
        <w:rPr>
          <w:i/>
          <w:iCs/>
          <w:spacing w:val="0"/>
          <w:w w:val="100"/>
          <w:position w:val="0"/>
          <w:shd w:val="clear" w:color="auto" w:fill="auto"/>
          <w:lang w:val="en-US" w:eastAsia="en-US" w:bidi="en-US"/>
        </w:rPr>
        <w:t>” (B.O.,</w:t>
      </w:r>
      <w:r>
        <w:rPr>
          <w:spacing w:val="0"/>
          <w:w w:val="100"/>
          <w:position w:val="0"/>
          <w:shd w:val="clear" w:color="auto" w:fill="auto"/>
          <w:lang w:val="en-US" w:eastAsia="en-US" w:bidi="en-US"/>
        </w:rPr>
        <w:t xml:space="preserve"> i. 352).</w:t>
      </w:r>
    </w:p>
    <w:p>
      <w:pPr>
        <w:pStyle w:val="Style5"/>
        <w:keepNext w:val="0"/>
        <w:keepLines w:val="0"/>
        <w:widowControl w:val="0"/>
        <w:shd w:val="clear" w:color="auto" w:fill="auto"/>
        <w:tabs>
          <w:tab w:pos="274" w:val="left"/>
        </w:tabs>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23</w:t>
        <w:tab/>
        <w:t>The hymn appended to Nestorian copies of the Psalter probably pertains to this Abraham and not to the later Abraham of Beth Rabban (see, for ex</w:t>
        <w:softHyphen/>
        <w:t xml:space="preserve">ample,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7156, f. 157b) ; comp. Bickell, </w:t>
      </w:r>
      <w:r>
        <w:rPr>
          <w:i/>
          <w:iCs/>
          <w:spacing w:val="0"/>
          <w:w w:val="100"/>
          <w:position w:val="0"/>
          <w:shd w:val="clear" w:color="auto" w:fill="auto"/>
          <w:lang w:val="en-US" w:eastAsia="en-US" w:bidi="en-US"/>
        </w:rPr>
        <w:t>Conspectus,</w:t>
      </w:r>
      <w:r>
        <w:rPr>
          <w:spacing w:val="0"/>
          <w:w w:val="100"/>
          <w:position w:val="0"/>
          <w:shd w:val="clear" w:color="auto" w:fill="auto"/>
          <w:lang w:val="en-US" w:eastAsia="en-US" w:bidi="en-US"/>
        </w:rPr>
        <w:t xml:space="preserve"> p. 37, and Hoffmann, </w:t>
      </w:r>
      <w:r>
        <w:rPr>
          <w:i/>
          <w:iCs/>
          <w:spacing w:val="0"/>
          <w:w w:val="100"/>
          <w:position w:val="0"/>
          <w:shd w:val="clear" w:color="auto" w:fill="auto"/>
          <w:lang w:val="en-US" w:eastAsia="en-US" w:bidi="en-US"/>
        </w:rPr>
        <w:t>0pusc. Nestor.,</w:t>
      </w:r>
      <w:r>
        <w:rPr>
          <w:spacing w:val="0"/>
          <w:w w:val="100"/>
          <w:position w:val="0"/>
          <w:shd w:val="clear" w:color="auto" w:fill="auto"/>
          <w:lang w:val="en-US" w:eastAsia="en-US" w:bidi="en-US"/>
        </w:rPr>
        <w:t xml:space="preserve"> xi., note 2.</w:t>
      </w:r>
    </w:p>
    <w:p>
      <w:pPr>
        <w:pStyle w:val="Style5"/>
        <w:keepNext w:val="0"/>
        <w:keepLines w:val="0"/>
        <w:widowControl w:val="0"/>
        <w:shd w:val="clear" w:color="auto" w:fill="auto"/>
        <w:tabs>
          <w:tab w:pos="277" w:val="left"/>
        </w:tabs>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24</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72. Here again Assemani seems to have mixed up this John with a later John of Beth Rabban and with John </w:t>
      </w:r>
      <w:r>
        <w:rPr>
          <w:spacing w:val="0"/>
          <w:w w:val="100"/>
          <w:position w:val="0"/>
          <w:shd w:val="clear" w:color="auto" w:fill="auto"/>
          <w:lang w:val="de-DE" w:eastAsia="de-DE" w:bidi="de-DE"/>
        </w:rPr>
        <w:t xml:space="preserve">Sābhā </w:t>
      </w:r>
      <w:r>
        <w:rPr>
          <w:spacing w:val="0"/>
          <w:w w:val="100"/>
          <w:position w:val="0"/>
          <w:shd w:val="clear" w:color="auto" w:fill="auto"/>
          <w:lang w:val="en-US" w:eastAsia="en-US" w:bidi="en-US"/>
        </w:rPr>
        <w:t xml:space="preserve">of </w:t>
      </w:r>
      <w:r>
        <w:rPr>
          <w:rStyle w:val="CharStyle3"/>
          <w:lang w:val="fr-FR" w:eastAsia="fr-FR" w:bidi="fr-FR"/>
        </w:rPr>
        <w:t>B</w:t>
      </w:r>
      <w:r>
        <w:rPr>
          <w:rStyle w:val="CharStyle3"/>
        </w:rPr>
        <w:t>ē</w:t>
      </w:r>
      <w:r>
        <w:rPr>
          <w:rStyle w:val="CharStyle3"/>
          <w:lang w:val="fr-FR" w:eastAsia="fr-FR" w:bidi="fr-FR"/>
        </w:rPr>
        <w:t>th</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Garmai </w:t>
      </w:r>
      <w:r>
        <w:rPr>
          <w:spacing w:val="0"/>
          <w:w w:val="100"/>
          <w:position w:val="0"/>
          <w:shd w:val="clear" w:color="auto" w:fill="auto"/>
          <w:lang w:val="en-US" w:eastAsia="en-US" w:bidi="en-US"/>
        </w:rPr>
        <w:t xml:space="preserve">; see his additional notes 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631, 708.</w:t>
      </w:r>
    </w:p>
    <w:p>
      <w:pPr>
        <w:pStyle w:val="Style5"/>
        <w:keepNext w:val="0"/>
        <w:keepLines w:val="0"/>
        <w:widowControl w:val="0"/>
        <w:shd w:val="clear" w:color="auto" w:fill="auto"/>
        <w:tabs>
          <w:tab w:pos="277" w:val="left"/>
        </w:tabs>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25</w:t>
        <w:tab/>
        <w:t xml:space="preserve">During the time of the catholics Joseph and Ezekiel, from 552 to 578;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413, 433, note 2.</w:t>
      </w:r>
    </w:p>
    <w:p>
      <w:pPr>
        <w:pStyle w:val="Style5"/>
        <w:keepNext w:val="0"/>
        <w:keepLines w:val="0"/>
        <w:widowControl w:val="0"/>
        <w:shd w:val="clear" w:color="auto" w:fill="auto"/>
        <w:tabs>
          <w:tab w:pos="281" w:val="left"/>
        </w:tabs>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26</w:t>
        <w:tab/>
        <w:t xml:space="preserve">The hymn in the Nestorian MSS. of the Psalter (mentioned in note 23 above) is probably by this John and not by the later John of Beth Rabban ; comp. Hoffmann's note referred to above. The monastery of Rabban </w:t>
      </w:r>
      <w:r>
        <w:rPr>
          <w:spacing w:val="0"/>
          <w:w w:val="100"/>
          <w:position w:val="0"/>
          <w:shd w:val="clear" w:color="auto" w:fill="auto"/>
          <w:lang w:val="fr-FR" w:eastAsia="fr-FR" w:bidi="fr-FR"/>
        </w:rPr>
        <w:t xml:space="preserve">Zëkliā- </w:t>
      </w:r>
      <w:r>
        <w:rPr>
          <w:spacing w:val="0"/>
          <w:w w:val="100"/>
          <w:position w:val="0"/>
          <w:shd w:val="clear" w:color="auto" w:fill="auto"/>
          <w:lang w:val="en-US" w:eastAsia="en-US" w:bidi="en-US"/>
        </w:rPr>
        <w:t>ish</w:t>
      </w:r>
      <w:r>
        <w:rPr>
          <w:rStyle w:val="CharStyle3"/>
        </w:rPr>
        <w:t>ō</w:t>
      </w:r>
      <w:r>
        <w:rPr>
          <w:spacing w:val="0"/>
          <w:w w:val="100"/>
          <w:position w:val="0"/>
          <w:shd w:val="clear" w:color="auto" w:fill="auto"/>
          <w:lang w:val="en-US" w:eastAsia="en-US" w:bidi="en-US"/>
        </w:rPr>
        <w:t xml:space="preserve">' (or </w:t>
      </w:r>
      <w:r>
        <w:rPr>
          <w:spacing w:val="0"/>
          <w:w w:val="100"/>
          <w:position w:val="0"/>
          <w:shd w:val="clear" w:color="auto" w:fill="auto"/>
          <w:lang w:val="fr-FR" w:eastAsia="fr-FR" w:bidi="fr-FR"/>
        </w:rPr>
        <w:t xml:space="preserve">īsho'-zēkhā)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 xml:space="preserve">Dāsen </w:t>
      </w:r>
      <w:r>
        <w:rPr>
          <w:spacing w:val="0"/>
          <w:w w:val="100"/>
          <w:position w:val="0"/>
          <w:shd w:val="clear" w:color="auto" w:fill="auto"/>
          <w:lang w:val="en-US" w:eastAsia="en-US" w:bidi="en-US"/>
        </w:rPr>
        <w:t xml:space="preserve">was not founded till about 590, and </w:t>
      </w:r>
      <w:r>
        <w:rPr>
          <w:spacing w:val="0"/>
          <w:w w:val="100"/>
          <w:position w:val="0"/>
          <w:shd w:val="clear" w:color="auto" w:fill="auto"/>
          <w:lang w:val="de-DE" w:eastAsia="de-DE" w:bidi="de-DE"/>
        </w:rPr>
        <w:t xml:space="preserve">Zekhā-ishō' </w:t>
      </w:r>
      <w:r>
        <w:rPr>
          <w:spacing w:val="0"/>
          <w:w w:val="100"/>
          <w:position w:val="0"/>
          <w:shd w:val="clear" w:color="auto" w:fill="auto"/>
          <w:lang w:val="en-US" w:eastAsia="en-US" w:bidi="en-US"/>
        </w:rPr>
        <w:t xml:space="preserve">himself did not die till the thirteenth year of Khosrau II. </w:t>
      </w:r>
      <w:r>
        <w:rPr>
          <w:spacing w:val="0"/>
          <w:w w:val="100"/>
          <w:position w:val="0"/>
          <w:shd w:val="clear" w:color="auto" w:fill="auto"/>
          <w:lang w:val="fr-FR" w:eastAsia="fr-FR" w:bidi="fr-FR"/>
        </w:rPr>
        <w:t xml:space="preserve">Parwēz, </w:t>
      </w:r>
      <w:r>
        <w:rPr>
          <w:spacing w:val="0"/>
          <w:w w:val="100"/>
          <w:position w:val="0"/>
          <w:shd w:val="clear" w:color="auto" w:fill="auto"/>
          <w:lang w:val="en-US" w:eastAsia="en-US" w:bidi="en-US"/>
        </w:rPr>
        <w:t xml:space="preserve">603 ;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472.</w:t>
      </w:r>
    </w:p>
    <w:p>
      <w:pPr>
        <w:pStyle w:val="Style5"/>
        <w:keepNext w:val="0"/>
        <w:keepLines w:val="0"/>
        <w:widowControl w:val="0"/>
        <w:shd w:val="clear" w:color="auto" w:fill="auto"/>
        <w:tabs>
          <w:tab w:pos="277" w:val="left"/>
        </w:tabs>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27</w:t>
        <w:tab/>
      </w:r>
      <w:r>
        <w:rPr>
          <w:i/>
          <w:iCs/>
          <w:spacing w:val="0"/>
          <w:w w:val="100"/>
          <w:position w:val="0"/>
          <w:shd w:val="clear" w:color="auto" w:fill="auto"/>
          <w:lang w:val="en-US" w:eastAsia="en-US" w:bidi="en-US"/>
        </w:rPr>
        <w:t>l.e.,</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 xml:space="preserve">al-Ahwāz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 xml:space="preserve">Khuzistān. </w:t>
      </w:r>
      <w:r>
        <w:rPr>
          <w:spacing w:val="0"/>
          <w:w w:val="100"/>
          <w:position w:val="0"/>
          <w:shd w:val="clear" w:color="auto" w:fill="auto"/>
          <w:lang w:val="en-US" w:eastAsia="en-US" w:bidi="en-US"/>
        </w:rPr>
        <w:t xml:space="preserve">He must not be confounded with Joseph </w:t>
      </w:r>
      <w:r>
        <w:rPr>
          <w:spacing w:val="0"/>
          <w:w w:val="100"/>
          <w:position w:val="0"/>
          <w:shd w:val="clear" w:color="auto" w:fill="auto"/>
          <w:lang w:val="de-DE" w:eastAsia="de-DE" w:bidi="de-DE"/>
        </w:rPr>
        <w:t xml:space="preserve">Hazzāyā, </w:t>
      </w:r>
      <w:r>
        <w:rPr>
          <w:spacing w:val="0"/>
          <w:w w:val="100"/>
          <w:position w:val="0"/>
          <w:shd w:val="clear" w:color="auto" w:fill="auto"/>
          <w:lang w:val="en-US" w:eastAsia="en-US" w:bidi="en-US"/>
        </w:rPr>
        <w:t xml:space="preserve">of whom we shall speak hereafter (see p. 838 </w:t>
      </w:r>
      <w:r>
        <w:rPr>
          <w:i/>
          <w:iCs/>
          <w:spacing w:val="0"/>
          <w:w w:val="100"/>
          <w:position w:val="0"/>
          <w:shd w:val="clear" w:color="auto" w:fill="auto"/>
          <w:lang w:val="en-US" w:eastAsia="en-US" w:bidi="en-US"/>
        </w:rPr>
        <w:t>infra).</w:t>
      </w:r>
    </w:p>
    <w:p>
      <w:pPr>
        <w:pStyle w:val="Style5"/>
        <w:keepNext w:val="0"/>
        <w:keepLines w:val="0"/>
        <w:widowControl w:val="0"/>
        <w:shd w:val="clear" w:color="auto" w:fill="auto"/>
        <w:tabs>
          <w:tab w:pos="281" w:val="left"/>
        </w:tabs>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28</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78, says that Joseph </w:t>
      </w:r>
      <w:r>
        <w:rPr>
          <w:spacing w:val="0"/>
          <w:w w:val="100"/>
          <w:position w:val="0"/>
          <w:shd w:val="clear" w:color="auto" w:fill="auto"/>
          <w:lang w:val="de-DE" w:eastAsia="de-DE" w:bidi="de-DE"/>
        </w:rPr>
        <w:t xml:space="preserve">Hūzāyā </w:t>
      </w:r>
      <w:r>
        <w:rPr>
          <w:spacing w:val="0"/>
          <w:w w:val="100"/>
          <w:position w:val="0"/>
          <w:shd w:val="clear" w:color="auto" w:fill="auto"/>
          <w:lang w:val="en-US" w:eastAsia="en-US" w:bidi="en-US"/>
        </w:rPr>
        <w:t>was the im</w:t>
        <w:softHyphen/>
        <w:t xml:space="preserve">mediate successor of Narsai ; but the Nestorian writer cited by Assemani </w:t>
      </w:r>
      <w:r>
        <w:rPr>
          <w:i/>
          <w:iCs/>
          <w:spacing w:val="0"/>
          <w:w w:val="100"/>
          <w:position w:val="0"/>
          <w:shd w:val="clear" w:color="auto" w:fill="auto"/>
          <w:lang w:val="en-US" w:eastAsia="en-US" w:bidi="en-US"/>
        </w:rPr>
        <w:t xml:space="preserve">(B.O., </w:t>
      </w:r>
      <w:r>
        <w:rPr>
          <w:spacing w:val="0"/>
          <w:w w:val="100"/>
          <w:position w:val="0"/>
          <w:shd w:val="clear" w:color="auto" w:fill="auto"/>
          <w:lang w:val="en-US" w:eastAsia="en-US" w:bidi="en-US"/>
        </w:rPr>
        <w:t xml:space="preserve">iii. 1, 64) is likely to be better informed. The passage quoted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82, points in the same direction ; comp, also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2, cmxxvii.</w:t>
      </w:r>
    </w:p>
    <w:p>
      <w:pPr>
        <w:pStyle w:val="Style5"/>
        <w:keepNext w:val="0"/>
        <w:keepLines w:val="0"/>
        <w:widowControl w:val="0"/>
        <w:shd w:val="clear" w:color="auto" w:fill="auto"/>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2θ </w:t>
      </w:r>
      <w:r>
        <w:rPr>
          <w:i/>
          <w:iCs/>
          <w:spacing w:val="0"/>
          <w:w w:val="100"/>
          <w:position w:val="0"/>
          <w:shd w:val="clear" w:color="auto" w:fill="auto"/>
          <w:lang w:val="en-US" w:eastAsia="en-US" w:bidi="en-US"/>
        </w:rPr>
        <w:t>Loc. cit.∙,</w:t>
      </w:r>
      <w:r>
        <w:rPr>
          <w:spacing w:val="0"/>
          <w:w w:val="100"/>
          <w:position w:val="0"/>
          <w:shd w:val="clear" w:color="auto" w:fill="auto"/>
          <w:lang w:val="en-US" w:eastAsia="en-US" w:bidi="en-US"/>
        </w:rPr>
        <w:t xml:space="preserve"> comp.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407.</w:t>
      </w:r>
    </w:p>
    <w:p>
      <w:pPr>
        <w:pStyle w:val="Style5"/>
        <w:keepNext w:val="0"/>
        <w:keepLines w:val="0"/>
        <w:widowControl w:val="0"/>
        <w:shd w:val="clear" w:color="auto" w:fill="auto"/>
        <w:tabs>
          <w:tab w:pos="2545" w:val="left"/>
        </w:tabs>
        <w:bidi w:val="0"/>
        <w:spacing w:line="276" w:lineRule="auto"/>
        <w:ind w:left="0" w:firstLine="36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30 See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107, col. 2. Assemani </w:t>
      </w:r>
      <w:r>
        <w:rPr>
          <w:i/>
          <w:iCs/>
          <w:spacing w:val="0"/>
          <w:w w:val="100"/>
          <w:position w:val="0"/>
          <w:shd w:val="clear" w:color="auto" w:fill="auto"/>
          <w:lang w:val="en-US" w:eastAsia="en-US" w:bidi="en-US"/>
        </w:rPr>
        <w:t>(B.0.,</w:t>
      </w:r>
      <w:r>
        <w:rPr>
          <w:spacing w:val="0"/>
          <w:w w:val="100"/>
          <w:position w:val="0"/>
          <w:shd w:val="clear" w:color="auto" w:fill="auto"/>
          <w:lang w:val="en-US" w:eastAsia="en-US" w:bidi="en-US"/>
        </w:rPr>
        <w:t xml:space="preserve"> iii. 1, 64, col. 2) has mis</w:t>
        <w:softHyphen/>
        <w:t>translated the words. Comp. Hoffmann,</w:t>
      </w:r>
    </w:p>
    <w:p>
      <w:pPr>
        <w:pStyle w:val="Style5"/>
        <w:keepNext w:val="0"/>
        <w:keepLines w:val="0"/>
        <w:widowControl w:val="0"/>
        <w:shd w:val="clear" w:color="auto" w:fill="auto"/>
        <w:tabs>
          <w:tab w:pos="2030" w:val="left"/>
        </w:tabs>
        <w:bidi w:val="0"/>
        <w:spacing w:line="336" w:lineRule="auto"/>
        <w:ind w:left="0" w:firstLine="0"/>
        <w:jc w:val="left"/>
      </w:pPr>
      <w:r>
        <w:rPr>
          <w:i/>
          <w:iCs/>
          <w:spacing w:val="0"/>
          <w:w w:val="100"/>
          <w:position w:val="0"/>
          <w:shd w:val="clear" w:color="auto" w:fill="auto"/>
          <w:lang w:val="en-US" w:eastAsia="en-US" w:bidi="en-US"/>
        </w:rPr>
        <w:t>0pusc. Nestor.,</w:t>
      </w:r>
      <w:r>
        <w:rPr>
          <w:spacing w:val="0"/>
          <w:w w:val="100"/>
          <w:position w:val="0"/>
          <w:shd w:val="clear" w:color="auto" w:fill="auto"/>
          <w:lang w:val="en-US" w:eastAsia="en-US" w:bidi="en-US"/>
        </w:rPr>
        <w:t xml:space="preserve"> viii., xi.</w:t>
        <w:tab/>
      </w:r>
    </w:p>
    <w:p>
      <w:pPr>
        <w:pStyle w:val="Style5"/>
        <w:keepNext w:val="0"/>
        <w:keepLines w:val="0"/>
        <w:widowControl w:val="0"/>
        <w:shd w:val="clear" w:color="auto" w:fill="auto"/>
        <w:tabs>
          <w:tab w:pos="2030" w:val="left"/>
        </w:tabs>
        <w:bidi w:val="0"/>
        <w:spacing w:line="336" w:lineRule="auto"/>
        <w:ind w:left="0" w:firstLine="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31 Berlin, Royal Library,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226, 4.</w:t>
      </w:r>
    </w:p>
    <w:p>
      <w:pPr>
        <w:pStyle w:val="Style5"/>
        <w:keepNext w:val="0"/>
        <w:keepLines w:val="0"/>
        <w:widowControl w:val="0"/>
        <w:shd w:val="clear" w:color="auto" w:fill="auto"/>
        <w:tabs>
          <w:tab w:pos="346" w:val="left"/>
        </w:tabs>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32</w:t>
        <w:tab/>
      </w:r>
      <w:r>
        <w:rPr>
          <w:spacing w:val="0"/>
          <w:w w:val="100"/>
          <w:position w:val="0"/>
          <w:shd w:val="clear" w:color="auto" w:fill="auto"/>
          <w:lang w:val="fr-FR" w:eastAsia="fr-FR" w:bidi="fr-FR"/>
        </w:rPr>
        <w:t xml:space="preserve">Bar-Hebræus, </w:t>
      </w:r>
      <w:r>
        <w:rPr>
          <w:i/>
          <w:iCs/>
          <w:spacing w:val="0"/>
          <w:w w:val="100"/>
          <w:position w:val="0"/>
          <w:shd w:val="clear" w:color="auto" w:fill="auto"/>
          <w:lang w:val="fr-FR" w:eastAsia="fr-FR" w:bidi="fr-FR"/>
        </w:rPr>
        <w:t xml:space="preserve">Œuvres </w:t>
      </w:r>
      <w:r>
        <w:rPr>
          <w:i/>
          <w:iCs/>
          <w:spacing w:val="0"/>
          <w:w w:val="100"/>
          <w:position w:val="0"/>
          <w:shd w:val="clear" w:color="auto" w:fill="auto"/>
          <w:lang w:val="la-001" w:eastAsia="la-001" w:bidi="la-001"/>
        </w:rPr>
        <w:t>grammaticales,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ed. Martin, </w:t>
      </w:r>
      <w:r>
        <w:rPr>
          <w:spacing w:val="0"/>
          <w:w w:val="100"/>
          <w:position w:val="0"/>
          <w:shd w:val="clear" w:color="auto" w:fill="auto"/>
          <w:lang w:val="la-001" w:eastAsia="la-001" w:bidi="la-001"/>
        </w:rPr>
        <w:t xml:space="preserve">ii. </w:t>
      </w:r>
      <w:r>
        <w:rPr>
          <w:spacing w:val="0"/>
          <w:w w:val="100"/>
          <w:position w:val="0"/>
          <w:shd w:val="clear" w:color="auto" w:fill="auto"/>
          <w:lang w:val="en-US" w:eastAsia="en-US" w:bidi="en-US"/>
        </w:rPr>
        <w:t>77.</w:t>
      </w:r>
    </w:p>
    <w:p>
      <w:pPr>
        <w:pStyle w:val="Style5"/>
        <w:keepNext w:val="0"/>
        <w:keepLines w:val="0"/>
        <w:widowControl w:val="0"/>
        <w:shd w:val="clear" w:color="auto" w:fill="auto"/>
        <w:tabs>
          <w:tab w:pos="342" w:val="left"/>
        </w:tabs>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33</w:t>
        <w:tab/>
      </w:r>
      <w:r>
        <w:rPr>
          <w:spacing w:val="0"/>
          <w:w w:val="100"/>
          <w:position w:val="0"/>
          <w:shd w:val="clear" w:color="auto" w:fill="auto"/>
          <w:lang w:val="en-US" w:eastAsia="en-US" w:bidi="en-US"/>
        </w:rPr>
        <w:t xml:space="preserve">Properly Mar(i)-abha, but we shall write </w:t>
      </w:r>
      <w:r>
        <w:rPr>
          <w:spacing w:val="0"/>
          <w:w w:val="100"/>
          <w:position w:val="0"/>
          <w:shd w:val="clear" w:color="auto" w:fill="auto"/>
          <w:lang w:val="de-DE" w:eastAsia="de-DE" w:bidi="de-DE"/>
        </w:rPr>
        <w:t>Mār-abhā.</w:t>
      </w:r>
    </w:p>
    <w:p>
      <w:pPr>
        <w:pStyle w:val="Style5"/>
        <w:keepNext w:val="0"/>
        <w:keepLines w:val="0"/>
        <w:widowControl w:val="0"/>
        <w:shd w:val="clear" w:color="auto" w:fill="auto"/>
        <w:tabs>
          <w:tab w:pos="281" w:val="left"/>
        </w:tabs>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34</w:t>
        <w:tab/>
        <w:t xml:space="preserve">Probably the same who is mentioned among his disciples 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412, and some of whose writings are enumerated by </w:t>
      </w:r>
      <w:r>
        <w:rPr>
          <w:spacing w:val="0"/>
          <w:w w:val="100"/>
          <w:position w:val="0"/>
          <w:shd w:val="clear" w:color="auto" w:fill="auto"/>
          <w:lang w:val="de-DE" w:eastAsia="de-DE" w:bidi="de-DE"/>
        </w:rPr>
        <w:t>'</w:t>
      </w:r>
      <w:r>
        <w:rPr>
          <w:rStyle w:val="CharStyle3"/>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86-7.</w:t>
      </w:r>
    </w:p>
    <w:p>
      <w:pPr>
        <w:pStyle w:val="Style5"/>
        <w:keepNext w:val="0"/>
        <w:keepLines w:val="0"/>
        <w:widowControl w:val="0"/>
        <w:shd w:val="clear" w:color="auto" w:fill="auto"/>
        <w:tabs>
          <w:tab w:pos="281" w:val="left"/>
        </w:tabs>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rFonts w:ascii="Arial" w:eastAsia="Arial" w:hAnsi="Arial" w:cs="Arial"/>
          <w:spacing w:val="0"/>
          <w:w w:val="100"/>
          <w:position w:val="0"/>
          <w:sz w:val="8"/>
          <w:szCs w:val="8"/>
          <w:shd w:val="clear" w:color="auto" w:fill="auto"/>
          <w:lang w:val="en-US" w:eastAsia="en-US" w:bidi="en-US"/>
        </w:rPr>
        <w:t>35</w:t>
        <w:tab/>
      </w:r>
      <w:r>
        <w:rPr>
          <w:spacing w:val="0"/>
          <w:w w:val="100"/>
          <w:position w:val="0"/>
          <w:shd w:val="clear" w:color="auto" w:fill="auto"/>
          <w:lang w:val="en-US" w:eastAsia="en-US" w:bidi="en-US"/>
        </w:rPr>
        <w:t xml:space="preserve">So </w:t>
      </w:r>
      <w:r>
        <w:rPr>
          <w:spacing w:val="0"/>
          <w:w w:val="100"/>
          <w:position w:val="0"/>
          <w:shd w:val="clear" w:color="auto" w:fill="auto"/>
          <w:lang w:val="de-DE" w:eastAsia="de-DE" w:bidi="de-DE"/>
        </w:rPr>
        <w:t>'</w:t>
      </w:r>
      <w:r>
        <w:rPr>
          <w:rStyle w:val="CharStyle3"/>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1,36 ; but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7181 the same remark is made as to the liturgy of Theodore of Mopsuestia (see Rosen,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59).</w:t>
      </w:r>
    </w:p>
    <w:p>
      <w:pPr>
        <w:pStyle w:val="Style5"/>
        <w:keepNext w:val="0"/>
        <w:keepLines w:val="0"/>
        <w:widowControl w:val="0"/>
        <w:shd w:val="clear" w:color="auto" w:fill="auto"/>
        <w:tabs>
          <w:tab w:pos="342" w:val="left"/>
        </w:tabs>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36</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411-412, iii. 1, 75, notes 1,2;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89-95.</w:t>
      </w:r>
    </w:p>
    <w:p>
      <w:pPr>
        <w:pStyle w:val="Style5"/>
        <w:keepNext w:val="0"/>
        <w:keepLines w:val="0"/>
        <w:widowControl w:val="0"/>
        <w:shd w:val="clear" w:color="auto" w:fill="auto"/>
        <w:tabs>
          <w:tab w:pos="342" w:val="left"/>
          <w:tab w:pos="2239" w:val="left"/>
        </w:tabs>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37</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75.</w:t>
        <w:tab/>
      </w:r>
    </w:p>
    <w:p>
      <w:pPr>
        <w:pStyle w:val="Style5"/>
        <w:keepNext w:val="0"/>
        <w:keepLines w:val="0"/>
        <w:widowControl w:val="0"/>
        <w:shd w:val="clear" w:color="auto" w:fill="auto"/>
        <w:tabs>
          <w:tab w:pos="342" w:val="left"/>
          <w:tab w:pos="2239" w:val="left"/>
        </w:tabs>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38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iii. 1, 76, note 4.</w:t>
      </w:r>
    </w:p>
    <w:p>
      <w:pPr>
        <w:pStyle w:val="Style5"/>
        <w:keepNext w:val="0"/>
        <w:keepLines w:val="0"/>
        <w:widowControl w:val="0"/>
        <w:shd w:val="clear" w:color="auto" w:fill="auto"/>
        <w:bidi w:val="0"/>
        <w:spacing w:line="190" w:lineRule="auto"/>
        <w:ind w:left="0" w:firstLine="360"/>
        <w:jc w:val="left"/>
      </w:pPr>
      <w:r>
        <w:rPr>
          <w:color w:val="73684C"/>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39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iii. 1, 81, and note 1 ; comp. Cod. Vat. cccvi. in Mai, </w:t>
      </w:r>
      <w:r>
        <w:rPr>
          <w:i/>
          <w:iCs/>
          <w:spacing w:val="0"/>
          <w:w w:val="100"/>
          <w:position w:val="0"/>
          <w:shd w:val="clear" w:color="auto" w:fill="auto"/>
          <w:lang w:val="en-US" w:eastAsia="en-US" w:bidi="en-US"/>
        </w:rPr>
        <w:t>Scriptt. Vett. Nova Coll.,</w:t>
      </w:r>
      <w:r>
        <w:rPr>
          <w:spacing w:val="0"/>
          <w:w w:val="100"/>
          <w:position w:val="0"/>
          <w:shd w:val="clear" w:color="auto" w:fill="auto"/>
          <w:lang w:val="en-US" w:eastAsia="en-US" w:bidi="en-US"/>
        </w:rPr>
        <w:t xml:space="preserve"> V. 21.</w:t>
      </w:r>
    </w:p>
    <w:p>
      <w:pPr>
        <w:widowControl w:val="0"/>
        <w:spacing w:line="1" w:lineRule="exact"/>
      </w:pPr>
    </w:p>
    <w:sectPr>
      <w:footnotePr>
        <w:pos w:val="pageBottom"/>
        <w:numFmt w:val="decimal"/>
        <w:numRestart w:val="continuous"/>
      </w:footnotePr>
      <w:type w:val="continuous"/>
      <w:pgSz w:w="12240" w:h="16840"/>
      <w:pgMar w:top="1667" w:left="1391" w:right="1461" w:bottom="14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Body text (5)"/>
    <w:basedOn w:val="Normal"/>
    <w:link w:val="CharStyle6"/>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