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Psalter as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7156@@</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Munich, cod. Syr. 4 (Orient. 147).@@</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Hymns of his are also extant.@@</w:t>
      </w:r>
      <w:r>
        <w:rPr>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Under </w:t>
      </w:r>
      <w:r>
        <w:rPr>
          <w:spacing w:val="0"/>
          <w:w w:val="100"/>
          <w:position w:val="0"/>
          <w:shd w:val="clear" w:color="auto" w:fill="auto"/>
          <w:lang w:val="fr-FR" w:eastAsia="fr-FR" w:bidi="fr-FR"/>
        </w:rPr>
        <w:t xml:space="preserve">Mār-abhā </w:t>
      </w:r>
      <w:r>
        <w:rPr>
          <w:spacing w:val="0"/>
          <w:w w:val="100"/>
          <w:position w:val="0"/>
          <w:shd w:val="clear" w:color="auto" w:fill="auto"/>
          <w:lang w:val="en-US" w:eastAsia="en-US" w:bidi="en-US"/>
        </w:rPr>
        <w:t>flourished Abraham of Kashkar (al-ΛVasit), dis</w:t>
        <w:softHyphen/>
        <w:t>tinguished for his acquaintance with philosophy and for his ascetic virtues. He introduced certain reforms into the Persian monas</w:t>
        <w:softHyphen/>
        <w:t>teries. After living for some time in a cave at Hazzah,@@</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he betook himself to Jerusalem and thence to Egypt. Returning to his old haunt, he led the life of a hermit for thirty years, travelling into the far north as a missionary. He died at Hazzah, but his body was secretly removed to his native place Kashkar. He wrote a treatise on the monastic life, which was translated into Persian by his disciple Job the monk.@@</w:t>
      </w:r>
      <w:r>
        <w:rPr>
          <w:spacing w:val="0"/>
          <w:w w:val="100"/>
          <w:position w:val="0"/>
          <w:shd w:val="clear" w:color="auto" w:fill="auto"/>
          <w:vertAlign w:val="superscript"/>
          <w:lang w:val="en-US" w:eastAsia="en-US" w:bidi="en-US"/>
        </w:rPr>
        <w:t>5</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He must, it would seem, be distinguished from another Abraham of Kashkar, who lived about the same time, and with whom Asse</w:t>
        <w:softHyphen/>
        <w:t>mani has confounded him.@@</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This Abraham was a student at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xml:space="preserve"> under Abraham the nephew of Narsai. Thence he went to </w:t>
      </w:r>
      <w:r>
        <w:rPr>
          <w:spacing w:val="0"/>
          <w:w w:val="100"/>
          <w:position w:val="0"/>
          <w:shd w:val="clear" w:color="auto" w:fill="auto"/>
          <w:lang w:val="fr-FR" w:eastAsia="fr-FR" w:bidi="fr-FR"/>
        </w:rPr>
        <w:t xml:space="preserve">Hērtā </w:t>
      </w:r>
      <w:r>
        <w:rPr>
          <w:spacing w:val="0"/>
          <w:w w:val="100"/>
          <w:position w:val="0"/>
          <w:shd w:val="clear" w:color="auto" w:fill="auto"/>
          <w:lang w:val="en-US" w:eastAsia="en-US" w:bidi="en-US"/>
        </w:rPr>
        <w:t>(</w:t>
      </w:r>
      <w:r>
        <w:rPr>
          <w:spacing w:val="0"/>
          <w:w w:val="100"/>
          <w:position w:val="0"/>
          <w:shd w:val="clear" w:color="auto" w:fill="auto"/>
          <w:lang w:val="fr-FR" w:eastAsia="fr-FR" w:bidi="fr-FR"/>
        </w:rPr>
        <w:t>al-</w:t>
      </w:r>
      <w:r>
        <w:rPr>
          <w:spacing w:val="0"/>
          <w:w w:val="100"/>
          <w:position w:val="0"/>
          <w:shd w:val="clear" w:color="auto" w:fill="auto"/>
          <w:lang w:val="en-US" w:eastAsia="en-US" w:bidi="en-US"/>
        </w:rPr>
        <w:t>Ḥī</w:t>
      </w:r>
      <w:r>
        <w:rPr>
          <w:spacing w:val="0"/>
          <w:w w:val="100"/>
          <w:position w:val="0"/>
          <w:shd w:val="clear" w:color="auto" w:fill="auto"/>
          <w:lang w:val="fr-FR" w:eastAsia="fr-FR" w:bidi="fr-FR"/>
        </w:rPr>
        <w:t>rah</w:t>
      </w:r>
      <w:r>
        <w:rPr>
          <w:spacing w:val="0"/>
          <w:w w:val="100"/>
          <w:position w:val="0"/>
          <w:shd w:val="clear" w:color="auto" w:fill="auto"/>
          <w:lang w:val="en-US" w:eastAsia="en-US" w:bidi="en-US"/>
        </w:rPr>
        <w:t xml:space="preserve">), where he converted some of the heathen inhabitants, visited Egypt and Mount Sinai, and finally settled down as a hermit in a cave on Mount </w:t>
      </w:r>
      <w:r>
        <w:rPr>
          <w:spacing w:val="0"/>
          <w:w w:val="100"/>
          <w:position w:val="0"/>
          <w:shd w:val="clear" w:color="auto" w:fill="auto"/>
          <w:lang w:val="de-DE" w:eastAsia="de-DE" w:bidi="de-DE"/>
        </w:rPr>
        <w:t xml:space="preserve">Izlā, </w:t>
      </w:r>
      <w:r>
        <w:rPr>
          <w:spacing w:val="0"/>
          <w:w w:val="100"/>
          <w:position w:val="0"/>
          <w:shd w:val="clear" w:color="auto" w:fill="auto"/>
          <w:lang w:val="en-US" w:eastAsia="en-US" w:bidi="en-US"/>
        </w:rPr>
        <w:t xml:space="preserve">near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where a great number of followers soon gathered about him and a large monastery was built. He introduced stricter rules than heretofore among the coenobites.@@</w:t>
      </w:r>
      <w:r>
        <w:rPr>
          <w:spacing w:val="0"/>
          <w:w w:val="100"/>
          <w:position w:val="0"/>
          <w:shd w:val="clear" w:color="auto" w:fill="auto"/>
          <w:vertAlign w:val="superscript"/>
          <w:lang w:val="en-US" w:eastAsia="en-US" w:bidi="en-US"/>
        </w:rPr>
        <w:t xml:space="preserve">7 </w:t>
      </w:r>
      <w:r>
        <w:rPr>
          <w:spacing w:val="0"/>
          <w:w w:val="100"/>
          <w:position w:val="0"/>
          <w:shd w:val="clear" w:color="auto" w:fill="auto"/>
          <w:lang w:val="en-US" w:eastAsia="en-US" w:bidi="en-US"/>
        </w:rPr>
        <w:t>His death did not take place till towards the end of the century.@@</w:t>
      </w:r>
      <w:r>
        <w:rPr>
          <w:spacing w:val="0"/>
          <w:w w:val="100"/>
          <w:position w:val="0"/>
          <w:shd w:val="clear" w:color="auto" w:fill="auto"/>
          <w:vertAlign w:val="superscript"/>
          <w:lang w:val="en-US" w:eastAsia="en-US" w:bidi="en-US"/>
        </w:rPr>
        <w:t>8</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Theodore, bishop of Marti or Merv, was appointed to this see by </w:t>
      </w:r>
      <w:r>
        <w:rPr>
          <w:spacing w:val="0"/>
          <w:w w:val="100"/>
          <w:position w:val="0"/>
          <w:shd w:val="clear" w:color="auto" w:fill="auto"/>
          <w:lang w:val="fr-FR" w:eastAsia="fr-FR" w:bidi="fr-FR"/>
        </w:rPr>
        <w:t xml:space="preserve">Mār-abhā </w:t>
      </w:r>
      <w:r>
        <w:rPr>
          <w:spacing w:val="0"/>
          <w:w w:val="100"/>
          <w:position w:val="0"/>
          <w:shd w:val="clear" w:color="auto" w:fill="auto"/>
          <w:lang w:val="en-US" w:eastAsia="en-US" w:bidi="en-US"/>
        </w:rPr>
        <w:t>in place of David, whom he had deposed, about 540. He seems to have been much addicted to the study of the Aristo</w:t>
        <w:softHyphen/>
        <w:t xml:space="preserve">telian dialectics, since several of the translations and treatises of Sergius of </w:t>
      </w:r>
      <w:r>
        <w:rPr>
          <w:spacing w:val="0"/>
          <w:w w:val="100"/>
          <w:position w:val="0"/>
          <w:shd w:val="clear" w:color="auto" w:fill="auto"/>
          <w:lang w:val="fr-FR" w:eastAsia="fr-FR" w:bidi="fr-FR"/>
        </w:rPr>
        <w:t>R</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s'ain </w:t>
      </w:r>
      <w:r>
        <w:rPr>
          <w:spacing w:val="0"/>
          <w:w w:val="100"/>
          <w:position w:val="0"/>
          <w:shd w:val="clear" w:color="auto" w:fill="auto"/>
          <w:lang w:val="en-US" w:eastAsia="en-US" w:bidi="en-US"/>
        </w:rPr>
        <w:t>are dedicated to him.@@</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Among his own works@@</w:t>
      </w:r>
      <w:r>
        <w:rPr>
          <w:spacing w:val="0"/>
          <w:w w:val="100"/>
          <w:position w:val="0"/>
          <w:shd w:val="clear" w:color="auto" w:fill="auto"/>
          <w:vertAlign w:val="superscript"/>
          <w:lang w:val="en-US" w:eastAsia="en-US" w:bidi="en-US"/>
        </w:rPr>
        <w:t xml:space="preserve">10 </w:t>
      </w:r>
      <w:r>
        <w:rPr>
          <w:spacing w:val="0"/>
          <w:w w:val="100"/>
          <w:position w:val="0"/>
          <w:shd w:val="clear" w:color="auto" w:fill="auto"/>
          <w:lang w:val="en-US" w:eastAsia="en-US" w:bidi="en-US"/>
        </w:rPr>
        <w:t xml:space="preserve">there is mentioned “ a solution of the ten questions of Sergius.” He also composed a commentary on the Psalms and a metrical history of </w:t>
      </w:r>
      <w:r>
        <w:rPr>
          <w:spacing w:val="0"/>
          <w:w w:val="100"/>
          <w:position w:val="0"/>
          <w:shd w:val="clear" w:color="auto" w:fill="auto"/>
          <w:lang w:val="de-DE" w:eastAsia="de-DE" w:bidi="de-DE"/>
        </w:rPr>
        <w:t xml:space="preserve">Mār </w:t>
      </w:r>
      <w:r>
        <w:rPr>
          <w:spacing w:val="0"/>
          <w:w w:val="100"/>
          <w:position w:val="0"/>
          <w:shd w:val="clear" w:color="auto" w:fill="auto"/>
          <w:lang w:val="en-US" w:eastAsia="en-US" w:bidi="en-US"/>
        </w:rPr>
        <w:t>Eugenius and his companions,@@</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who came from </w:t>
      </w:r>
      <w:r>
        <w:rPr>
          <w:spacing w:val="0"/>
          <w:w w:val="100"/>
          <w:position w:val="0"/>
          <w:shd w:val="clear" w:color="auto" w:fill="auto"/>
          <w:lang w:val="de-DE" w:eastAsia="de-DE" w:bidi="de-DE"/>
        </w:rPr>
        <w:t xml:space="preserve">Klysma </w:t>
      </w:r>
      <w:r>
        <w:rPr>
          <w:spacing w:val="0"/>
          <w:w w:val="100"/>
          <w:position w:val="0"/>
          <w:shd w:val="clear" w:color="auto" w:fill="auto"/>
          <w:lang w:val="en-US" w:eastAsia="en-US" w:bidi="en-US"/>
        </w:rPr>
        <w:t xml:space="preserve">and introduced asceticism into Mesopotamia about the beginning of the 4th century. What may have been the contents of the “liber </w:t>
      </w:r>
      <w:r>
        <w:rPr>
          <w:spacing w:val="0"/>
          <w:w w:val="100"/>
          <w:position w:val="0"/>
          <w:shd w:val="clear" w:color="auto" w:fill="auto"/>
          <w:lang w:val="la-001" w:eastAsia="la-001" w:bidi="la-001"/>
        </w:rPr>
        <w:t xml:space="preserve">varii argumenti </w:t>
      </w:r>
      <w:r>
        <w:rPr>
          <w:spacing w:val="0"/>
          <w:w w:val="100"/>
          <w:position w:val="0"/>
          <w:shd w:val="clear" w:color="auto" w:fill="auto"/>
          <w:lang w:val="en-US" w:eastAsia="en-US" w:bidi="en-US"/>
        </w:rPr>
        <w:t xml:space="preserve">” which he wrote at the request of </w:t>
      </w:r>
      <w:r>
        <w:rPr>
          <w:spacing w:val="0"/>
          <w:w w:val="100"/>
          <w:position w:val="0"/>
          <w:shd w:val="clear" w:color="auto" w:fill="auto"/>
          <w:lang w:val="fr-FR" w:eastAsia="fr-FR" w:bidi="fr-FR"/>
        </w:rPr>
        <w:t xml:space="preserve">Mār-abhā </w:t>
      </w:r>
      <w:r>
        <w:rPr>
          <w:spacing w:val="0"/>
          <w:w w:val="100"/>
          <w:position w:val="0"/>
          <w:shd w:val="clear" w:color="auto" w:fill="auto"/>
          <w:lang w:val="en-US" w:eastAsia="en-US" w:bidi="en-US"/>
        </w:rPr>
        <w:t>himself it is hard to guess, in the default of any copy of it.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Theodore’s brother Gabriel, bishop of </w:t>
      </w:r>
      <w:r>
        <w:rPr>
          <w:spacing w:val="0"/>
          <w:w w:val="100"/>
          <w:position w:val="0"/>
          <w:shd w:val="clear" w:color="auto" w:fill="auto"/>
          <w:lang w:val="fr-FR" w:eastAsia="fr-FR" w:bidi="fr-FR"/>
        </w:rPr>
        <w:t>Hormizdshēr,</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12</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is stated by </w:t>
      </w:r>
      <w:r>
        <w:rPr>
          <w:spacing w:val="0"/>
          <w:w w:val="100"/>
          <w:position w:val="0"/>
          <w:shd w:val="clear" w:color="auto" w:fill="auto"/>
          <w:lang w:val="de-DE" w:eastAsia="de-DE" w:bidi="de-DE"/>
        </w:rPr>
        <w:t>'</w:t>
      </w:r>
      <w:r>
        <w:rPr>
          <w:spacing w:val="0"/>
          <w:w w:val="100"/>
          <w:position w:val="0"/>
          <w:shd w:val="clear" w:color="auto" w:fill="auto"/>
          <w:lang w:val="en-US" w:eastAsia="en-US" w:bidi="en-US"/>
        </w:rPr>
        <w:t>Abhd-īshō</w:t>
      </w:r>
      <w:r>
        <w:rPr>
          <w:spacing w:val="0"/>
          <w:w w:val="100"/>
          <w:position w:val="0"/>
          <w:shd w:val="clear" w:color="auto" w:fill="auto"/>
          <w:lang w:val="de-DE" w:eastAsia="de-DE" w:bidi="de-DE"/>
        </w:rPr>
        <w:t>'</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13</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to have written two controversial books against the Manichees and the </w:t>
      </w:r>
      <w:r>
        <w:rPr>
          <w:spacing w:val="0"/>
          <w:w w:val="100"/>
          <w:position w:val="0"/>
          <w:shd w:val="clear" w:color="auto" w:fill="auto"/>
          <w:lang w:val="fr-FR" w:eastAsia="fr-FR" w:bidi="fr-FR"/>
        </w:rPr>
        <w:t xml:space="preserve">Chaldæans </w:t>
      </w:r>
      <w:r>
        <w:rPr>
          <w:spacing w:val="0"/>
          <w:w w:val="100"/>
          <w:position w:val="0"/>
          <w:shd w:val="clear" w:color="auto" w:fill="auto"/>
          <w:lang w:val="en-US" w:eastAsia="en-US" w:bidi="en-US"/>
        </w:rPr>
        <w:t>(astrologers), as also about 300 chap</w:t>
        <w:softHyphen/>
        <w:t>ters on various passages of Scripture which needed elucidation and explanation.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successor of </w:t>
      </w:r>
      <w:r>
        <w:rPr>
          <w:spacing w:val="0"/>
          <w:w w:val="100"/>
          <w:position w:val="0"/>
          <w:shd w:val="clear" w:color="auto" w:fill="auto"/>
          <w:lang w:val="fr-FR" w:eastAsia="fr-FR" w:bidi="fr-FR"/>
        </w:rPr>
        <w:t xml:space="preserve">Mār-abhā </w:t>
      </w:r>
      <w:r>
        <w:rPr>
          <w:spacing w:val="0"/>
          <w:w w:val="100"/>
          <w:position w:val="0"/>
          <w:shd w:val="clear" w:color="auto" w:fill="auto"/>
          <w:lang w:val="en-US" w:eastAsia="en-US" w:bidi="en-US"/>
        </w:rPr>
        <w:t xml:space="preserve">in the see of Seleucia was Joseph, in 552. He studied medicine in the West and practised in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xml:space="preserve">, where he lived in one of the convents. Having been introduced by a Persian noble to the notice of Khosrau I., he cured that monarch of an illness, and ingratiated himself with him so much that he favoured his appointment to the office of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Of his strange pranks and cruelties as archbishop some account, doubtless highly coloured, may be read in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432-433, and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95-97. He was deposed after he had sat for three years, but he lived twelve years longer, during which time no suc</w:t>
        <w:softHyphen/>
        <w:t>cessor was appointed. He promulgated twenty-three canons,@@</w:t>
      </w: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and, according to Elias, bishop of Damascus (893),@@</w:t>
      </w:r>
      <w:r>
        <w:rPr>
          <w:spacing w:val="0"/>
          <w:w w:val="100"/>
          <w:position w:val="0"/>
          <w:shd w:val="clear" w:color="auto" w:fill="auto"/>
          <w:vertAlign w:val="superscript"/>
          <w:lang w:val="en-US" w:eastAsia="en-US" w:bidi="en-US"/>
        </w:rPr>
        <w:t>l0</w:t>
      </w:r>
      <w:r>
        <w:rPr>
          <w:spacing w:val="0"/>
          <w:w w:val="100"/>
          <w:position w:val="0"/>
          <w:shd w:val="clear" w:color="auto" w:fill="auto"/>
          <w:lang w:val="en-US" w:eastAsia="en-US" w:bidi="en-US"/>
        </w:rPr>
        <w:t xml:space="preserve"> after his deposition drew up a list of his predecessors in the dignity of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wherein he would seem to have paid special attention to those who had shared the same fate with himself. At least Bar-Hebræus@@</w:t>
      </w: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xml:space="preserve"> (per</w:t>
        <w:softHyphen/>
        <w:t xml:space="preserve">haps not a quite trustworthy witness in this case) gives currency to the charge of his having forged the consolatory epistles of Jacob of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xml:space="preserve"> and </w:t>
      </w:r>
      <w:r>
        <w:rPr>
          <w:spacing w:val="0"/>
          <w:w w:val="100"/>
          <w:position w:val="0"/>
          <w:shd w:val="clear" w:color="auto" w:fill="auto"/>
          <w:lang w:val="de-DE" w:eastAsia="de-DE" w:bidi="de-DE"/>
        </w:rPr>
        <w:t xml:space="preserve">Mār </w:t>
      </w:r>
      <w:r>
        <w:rPr>
          <w:spacing w:val="0"/>
          <w:w w:val="100"/>
          <w:position w:val="0"/>
          <w:shd w:val="clear" w:color="auto" w:fill="auto"/>
          <w:lang w:val="en-US" w:eastAsia="en-US" w:bidi="en-US"/>
        </w:rPr>
        <w:t xml:space="preserve">Ephraim to </w:t>
      </w:r>
      <w:r>
        <w:rPr>
          <w:spacing w:val="0"/>
          <w:w w:val="100"/>
          <w:position w:val="0"/>
          <w:shd w:val="clear" w:color="auto" w:fill="auto"/>
          <w:lang w:val="de-DE" w:eastAsia="de-DE" w:bidi="de-DE"/>
        </w:rPr>
        <w:t xml:space="preserve">Pāpā </w:t>
      </w:r>
      <w:r>
        <w:rPr>
          <w:spacing w:val="0"/>
          <w:w w:val="100"/>
          <w:position w:val="0"/>
          <w:shd w:val="clear" w:color="auto" w:fill="auto"/>
          <w:lang w:val="en-US" w:eastAsia="en-US" w:bidi="en-US"/>
        </w:rPr>
        <w:t>of Seleucia on his deposition.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 little later in the century, under the sway of his successor Ezekiel (a disciple of </w:t>
      </w:r>
      <w:r>
        <w:rPr>
          <w:spacing w:val="0"/>
          <w:w w:val="100"/>
          <w:position w:val="0"/>
          <w:shd w:val="clear" w:color="auto" w:fill="auto"/>
          <w:lang w:val="fr-FR" w:eastAsia="fr-FR" w:bidi="fr-FR"/>
        </w:rPr>
        <w:t xml:space="preserve">Mār-abhā </w:t>
      </w:r>
      <w:r>
        <w:rPr>
          <w:spacing w:val="0"/>
          <w:w w:val="100"/>
          <w:position w:val="0"/>
          <w:shd w:val="clear" w:color="auto" w:fill="auto"/>
          <w:lang w:val="en-US" w:eastAsia="en-US" w:bidi="en-US"/>
        </w:rPr>
        <w:t>and the son-in-law of his predecessor Paul), 567-580,@@</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there flourished Paul the Persian,@@</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of </w:t>
      </w:r>
      <w:r>
        <w:rPr>
          <w:spacing w:val="0"/>
          <w:w w:val="100"/>
          <w:position w:val="0"/>
          <w:shd w:val="clear" w:color="auto" w:fill="auto"/>
          <w:lang w:val="fr-FR" w:eastAsia="fr-FR" w:bidi="fr-FR"/>
        </w:rPr>
        <w:t xml:space="preserve">Dērshar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Dērshahr,</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19</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 courtier of Khosrau I. </w:t>
      </w:r>
      <w:r>
        <w:rPr>
          <w:spacing w:val="0"/>
          <w:w w:val="100"/>
          <w:position w:val="0"/>
          <w:shd w:val="clear" w:color="auto" w:fill="auto"/>
          <w:lang w:val="de-DE" w:eastAsia="de-DE" w:bidi="de-DE"/>
        </w:rPr>
        <w:t>Anōsharwān.</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20</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He is said by </w:t>
      </w:r>
      <w:r>
        <w:rPr>
          <w:spacing w:val="0"/>
          <w:w w:val="100"/>
          <w:position w:val="0"/>
          <w:shd w:val="clear" w:color="auto" w:fill="auto"/>
          <w:lang w:val="fr-FR" w:eastAsia="fr-FR" w:bidi="fr-FR"/>
        </w:rPr>
        <w:t>Bar-Hebræus</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 xml:space="preserve"> to have been distinguished alike in ecclesiastical and philosophical lore, and to have aspired to the post of metropolitan</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bishop of </w:t>
      </w:r>
      <w:r>
        <w:rPr>
          <w:spacing w:val="0"/>
          <w:w w:val="100"/>
          <w:position w:val="0"/>
          <w:shd w:val="clear" w:color="auto" w:fill="auto"/>
          <w:lang w:val="la-001" w:eastAsia="la-001" w:bidi="la-001"/>
        </w:rPr>
        <w:t xml:space="preserve">Persis, </w:t>
      </w:r>
      <w:r>
        <w:rPr>
          <w:spacing w:val="0"/>
          <w:w w:val="100"/>
          <w:position w:val="0"/>
          <w:shd w:val="clear" w:color="auto" w:fill="auto"/>
          <w:lang w:val="en-US" w:eastAsia="en-US" w:bidi="en-US"/>
        </w:rPr>
        <w:t>but, being disappointed, to have gone over to the Zoroastrian religion. This may or may not be true ; but it is cer</w:t>
        <w:softHyphen/>
        <w:t>tain that Paul thought more of knowledge than faith, for thus he speaks@@</w:t>
      </w: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 xml:space="preserve"> : “ </w:t>
      </w:r>
      <w:r>
        <w:rPr>
          <w:spacing w:val="0"/>
          <w:w w:val="100"/>
          <w:position w:val="0"/>
          <w:shd w:val="clear" w:color="auto" w:fill="auto"/>
          <w:lang w:val="la-001" w:eastAsia="la-001" w:bidi="la-001"/>
        </w:rPr>
        <w:t xml:space="preserve">Scientia enim </w:t>
      </w:r>
      <w:r>
        <w:rPr>
          <w:spacing w:val="0"/>
          <w:w w:val="100"/>
          <w:position w:val="0"/>
          <w:shd w:val="clear" w:color="auto" w:fill="auto"/>
          <w:lang w:val="fr-FR" w:eastAsia="fr-FR" w:bidi="fr-FR"/>
        </w:rPr>
        <w:t xml:space="preserve">agit de </w:t>
      </w:r>
      <w:r>
        <w:rPr>
          <w:spacing w:val="0"/>
          <w:w w:val="100"/>
          <w:position w:val="0"/>
          <w:shd w:val="clear" w:color="auto" w:fill="auto"/>
          <w:lang w:val="la-001" w:eastAsia="la-001" w:bidi="la-001"/>
        </w:rPr>
        <w:t xml:space="preserve">rebus proximis et manifestis </w:t>
      </w:r>
      <w:r>
        <w:rPr>
          <w:spacing w:val="0"/>
          <w:w w:val="100"/>
          <w:position w:val="0"/>
          <w:shd w:val="clear" w:color="auto" w:fill="auto"/>
          <w:lang w:val="fr-FR" w:eastAsia="fr-FR" w:bidi="fr-FR"/>
        </w:rPr>
        <w:t xml:space="preserve">et quæ </w:t>
      </w:r>
      <w:r>
        <w:rPr>
          <w:spacing w:val="0"/>
          <w:w w:val="100"/>
          <w:position w:val="0"/>
          <w:shd w:val="clear" w:color="auto" w:fill="auto"/>
          <w:lang w:val="la-001" w:eastAsia="la-001" w:bidi="la-001"/>
        </w:rPr>
        <w:t xml:space="preserve">sciri possunt, fides autem de omnibus materiis </w:t>
      </w:r>
      <w:r>
        <w:rPr>
          <w:spacing w:val="0"/>
          <w:w w:val="100"/>
          <w:position w:val="0"/>
          <w:shd w:val="clear" w:color="auto" w:fill="auto"/>
          <w:lang w:val="fr-FR" w:eastAsia="fr-FR" w:bidi="fr-FR"/>
        </w:rPr>
        <w:t xml:space="preserve">quæ remotæ </w:t>
      </w:r>
      <w:r>
        <w:rPr>
          <w:spacing w:val="0"/>
          <w:w w:val="100"/>
          <w:position w:val="0"/>
          <w:shd w:val="clear" w:color="auto" w:fill="auto"/>
          <w:lang w:val="la-001" w:eastAsia="la-001" w:bidi="la-001"/>
        </w:rPr>
        <w:t xml:space="preserve">sunt, neque conspiciuntur neque certa ratione cognoscuntur. </w:t>
      </w:r>
      <w:r>
        <w:rPr>
          <w:spacing w:val="0"/>
          <w:w w:val="100"/>
          <w:position w:val="0"/>
          <w:shd w:val="clear" w:color="auto" w:fill="auto"/>
          <w:lang w:val="fr-FR" w:eastAsia="fr-FR" w:bidi="fr-FR"/>
        </w:rPr>
        <w:t xml:space="preserve">Hæc </w:t>
      </w:r>
      <w:r>
        <w:rPr>
          <w:spacing w:val="0"/>
          <w:w w:val="100"/>
          <w:position w:val="0"/>
          <w:shd w:val="clear" w:color="auto" w:fill="auto"/>
          <w:lang w:val="la-001" w:eastAsia="la-001" w:bidi="la-001"/>
        </w:rPr>
        <w:t>quidem cum dubio est, illa autem sine dubio. Omne dubium dis</w:t>
        <w:softHyphen/>
        <w:t xml:space="preserve">sensionem parit, dubii absentia autem unanimitatem. Scientia igitur potior est fide, et illam </w:t>
      </w:r>
      <w:r>
        <w:rPr>
          <w:spacing w:val="0"/>
          <w:w w:val="100"/>
          <w:position w:val="0"/>
          <w:shd w:val="clear" w:color="auto" w:fill="auto"/>
          <w:lang w:val="fr-FR" w:eastAsia="fr-FR" w:bidi="fr-FR"/>
        </w:rPr>
        <w:t xml:space="preserve">præ </w:t>
      </w:r>
      <w:r>
        <w:rPr>
          <w:spacing w:val="0"/>
          <w:w w:val="100"/>
          <w:position w:val="0"/>
          <w:shd w:val="clear" w:color="auto" w:fill="auto"/>
          <w:lang w:val="la-001" w:eastAsia="la-001" w:bidi="la-001"/>
        </w:rPr>
        <w:t xml:space="preserve">hac eligendum est.” </w:t>
      </w:r>
      <w:r>
        <w:rPr>
          <w:spacing w:val="0"/>
          <w:w w:val="100"/>
          <w:position w:val="0"/>
          <w:shd w:val="clear" w:color="auto" w:fill="auto"/>
          <w:lang w:val="fr-FR" w:eastAsia="fr-FR" w:bidi="fr-FR"/>
        </w:rPr>
        <w:t xml:space="preserve">Bar- Hebræus </w:t>
      </w:r>
      <w:r>
        <w:rPr>
          <w:spacing w:val="0"/>
          <w:w w:val="100"/>
          <w:position w:val="0"/>
          <w:shd w:val="clear" w:color="auto" w:fill="auto"/>
          <w:lang w:val="en-US" w:eastAsia="en-US" w:bidi="en-US"/>
        </w:rPr>
        <w:t xml:space="preserve">speaks of Paul’s </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admirable introduction to the dialectics (of Aristotle),”@@</w:t>
      </w: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 xml:space="preserve"> by which he no doubt means the treatise on logic extant in a single MS. in the Brit. </w:t>
      </w:r>
      <w:r>
        <w:rPr>
          <w:spacing w:val="0"/>
          <w:w w:val="100"/>
          <w:position w:val="0"/>
          <w:shd w:val="clear" w:color="auto" w:fill="auto"/>
          <w:lang w:val="fr-FR" w:eastAsia="fr-FR" w:bidi="fr-FR"/>
        </w:rPr>
        <w:t>Mus.</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24</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It has been edited, with a Latin translation and notes, by Land.@@</w:t>
      </w:r>
      <w:r>
        <w:rPr>
          <w:spacing w:val="0"/>
          <w:w w:val="100"/>
          <w:position w:val="0"/>
          <w:shd w:val="clear" w:color="auto" w:fill="auto"/>
          <w:vertAlign w:val="superscript"/>
          <w:lang w:val="en-US" w:eastAsia="en-US" w:bidi="en-US"/>
        </w:rPr>
        <w:t>25</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About this same time Assemani@@</w:t>
      </w:r>
      <w:r>
        <w:rPr>
          <w:spacing w:val="0"/>
          <w:w w:val="100"/>
          <w:position w:val="0"/>
          <w:shd w:val="clear" w:color="auto" w:fill="auto"/>
          <w:vertAlign w:val="superscript"/>
          <w:lang w:val="en-US" w:eastAsia="en-US" w:bidi="en-US"/>
        </w:rPr>
        <w:t>26</w:t>
      </w:r>
      <w:r>
        <w:rPr>
          <w:spacing w:val="0"/>
          <w:w w:val="100"/>
          <w:position w:val="0"/>
          <w:shd w:val="clear" w:color="auto" w:fill="auto"/>
          <w:lang w:val="en-US" w:eastAsia="en-US" w:bidi="en-US"/>
        </w:rPr>
        <w:t xml:space="preserve"> places the periodeutes Bōdh, who is said to have had the charge of the Christians in the remoter dis</w:t>
        <w:softHyphen/>
        <w:t xml:space="preserve">tricts of the Persian empire as far as India. Among his writings are specified “discourses on the faith and against the Manichees and Marcionites,” as well as a book of “Greek questions,” probably philosophical, bearing the strange title of </w:t>
      </w:r>
      <w:r>
        <w:rPr>
          <w:i/>
          <w:iCs/>
          <w:spacing w:val="0"/>
          <w:w w:val="100"/>
          <w:position w:val="0"/>
          <w:shd w:val="clear" w:color="auto" w:fill="auto"/>
          <w:lang w:val="en-US" w:eastAsia="en-US" w:bidi="en-US"/>
        </w:rPr>
        <w:t>Aleph Migln.</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a</w:t>
      </w:r>
      <w:r>
        <w:rPr>
          <w:spacing w:val="0"/>
          <w:w w:val="100"/>
          <w:position w:val="0"/>
          <w:shd w:val="clear" w:color="auto" w:fill="auto"/>
          <w:lang w:val="en-US" w:eastAsia="en-US" w:bidi="en-US"/>
        </w:rPr>
        <w:t xml:space="preserve"> All these have perished, but his name will go down to remote posterity as the translator into Syriac of the collection of Indian tales com</w:t>
        <w:softHyphen/>
        <w:t xml:space="preserve">monly called </w:t>
      </w:r>
      <w:r>
        <w:rPr>
          <w:i/>
          <w:iCs/>
          <w:spacing w:val="0"/>
          <w:w w:val="100"/>
          <w:position w:val="0"/>
          <w:shd w:val="clear" w:color="auto" w:fill="auto"/>
          <w:lang w:val="fr-FR" w:eastAsia="fr-FR" w:bidi="fr-FR"/>
        </w:rPr>
        <w:t xml:space="preserve">Kalīlah </w:t>
      </w:r>
      <w:r>
        <w:rPr>
          <w:i/>
          <w:iCs/>
          <w:spacing w:val="0"/>
          <w:w w:val="100"/>
          <w:position w:val="0"/>
          <w:shd w:val="clear" w:color="auto" w:fill="auto"/>
          <w:lang w:val="en-US" w:eastAsia="en-US" w:bidi="en-US"/>
        </w:rPr>
        <w:t>and Dimncth.</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a</w:t>
      </w:r>
      <w:r>
        <w:rPr>
          <w:spacing w:val="0"/>
          <w:w w:val="100"/>
          <w:position w:val="0"/>
          <w:shd w:val="clear" w:color="auto" w:fill="auto"/>
          <w:lang w:val="en-US" w:eastAsia="en-US" w:bidi="en-US"/>
        </w:rPr>
        <w:t xml:space="preserve"> Of this work a single copy has come down to our time, preserved in an Oriental library. A transcript of it was first procured by Bickell,@@</w:t>
      </w:r>
      <w:r>
        <w:rPr>
          <w:spacing w:val="0"/>
          <w:w w:val="100"/>
          <w:position w:val="0"/>
          <w:shd w:val="clear" w:color="auto" w:fill="auto"/>
          <w:vertAlign w:val="superscript"/>
          <w:lang w:val="en-US" w:eastAsia="en-US" w:bidi="en-US"/>
        </w:rPr>
        <w:t>29</w:t>
      </w:r>
      <w:r>
        <w:rPr>
          <w:spacing w:val="0"/>
          <w:w w:val="100"/>
          <w:position w:val="0"/>
          <w:shd w:val="clear" w:color="auto" w:fill="auto"/>
          <w:lang w:val="en-US" w:eastAsia="en-US" w:bidi="en-US"/>
        </w:rPr>
        <w:t xml:space="preserve"> who, in conjunction with Benfey, edited the book (Leipsic, 1876) ; and since then three additional copies of the same original have been got by </w:t>
      </w:r>
      <w:r>
        <w:rPr>
          <w:spacing w:val="0"/>
          <w:w w:val="100"/>
          <w:position w:val="0"/>
          <w:shd w:val="clear" w:color="auto" w:fill="auto"/>
          <w:lang w:val="de-DE" w:eastAsia="de-DE" w:bidi="de-DE"/>
        </w:rPr>
        <w:t>Sachau.</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 xml:space="preserve">30 </w:t>
      </w:r>
      <w:r>
        <w:rPr>
          <w:spacing w:val="0"/>
          <w:w w:val="100"/>
          <w:position w:val="0"/>
          <w:shd w:val="clear" w:color="auto" w:fill="auto"/>
          <w:lang w:val="en-US" w:eastAsia="en-US" w:bidi="en-US"/>
        </w:rPr>
        <w:t xml:space="preserve">That </w:t>
      </w:r>
      <w:r>
        <w:rPr>
          <w:spacing w:val="0"/>
          <w:w w:val="100"/>
          <w:position w:val="0"/>
          <w:shd w:val="clear" w:color="auto" w:fill="auto"/>
          <w:lang w:val="de-DE" w:eastAsia="de-DE" w:bidi="de-DE"/>
        </w:rPr>
        <w:t xml:space="preserve">Bōdh </w:t>
      </w:r>
      <w:r>
        <w:rPr>
          <w:spacing w:val="0"/>
          <w:w w:val="100"/>
          <w:position w:val="0"/>
          <w:shd w:val="clear" w:color="auto" w:fill="auto"/>
          <w:lang w:val="en-US" w:eastAsia="en-US" w:bidi="en-US"/>
        </w:rPr>
        <w:t xml:space="preserve">made his Syriac translation from an Indian (Sanskrit) original, as </w:t>
      </w:r>
      <w:r>
        <w:rPr>
          <w:spacing w:val="0"/>
          <w:w w:val="100"/>
          <w:position w:val="0"/>
          <w:shd w:val="clear" w:color="auto" w:fill="auto"/>
          <w:lang w:val="fr-FR" w:eastAsia="fr-FR" w:bidi="fr-FR"/>
        </w:rPr>
        <w:t>'</w:t>
      </w:r>
      <w:r>
        <w:rPr>
          <w:spacing w:val="0"/>
          <w:w w:val="100"/>
          <w:position w:val="0"/>
          <w:shd w:val="clear" w:color="auto" w:fill="auto"/>
          <w:lang w:val="en-US" w:eastAsia="en-US" w:bidi="en-US"/>
        </w:rPr>
        <w:t>Abhd-īshō</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asserts, is wholly unlikely ; he no doubt had before him a Pahlavi or Persian version.@@</w:t>
      </w:r>
      <w:r>
        <w:rPr>
          <w:spacing w:val="0"/>
          <w:w w:val="100"/>
          <w:position w:val="0"/>
          <w:shd w:val="clear" w:color="auto" w:fill="auto"/>
          <w:vertAlign w:val="superscript"/>
          <w:lang w:val="en-US" w:eastAsia="en-US" w:bidi="en-US"/>
        </w:rPr>
        <w:t>31</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Just at this period the Nestorian Church ran a great risk of disruption from an internal schism. </w:t>
      </w:r>
      <w:r>
        <w:rPr>
          <w:spacing w:val="0"/>
          <w:w w:val="100"/>
          <w:position w:val="0"/>
          <w:shd w:val="clear" w:color="auto" w:fill="auto"/>
          <w:lang w:val="de-DE" w:eastAsia="de-DE" w:bidi="de-DE"/>
        </w:rPr>
        <w:t xml:space="preserve">Hannānā </w:t>
      </w:r>
      <w:r>
        <w:rPr>
          <w:spacing w:val="0"/>
          <w:w w:val="100"/>
          <w:position w:val="0"/>
          <w:shd w:val="clear" w:color="auto" w:fill="auto"/>
          <w:lang w:val="en-US" w:eastAsia="en-US" w:bidi="en-US"/>
        </w:rPr>
        <w:t xml:space="preserve">of Hedhaiyabh, the successor of Joseph </w:t>
      </w:r>
      <w:r>
        <w:rPr>
          <w:spacing w:val="0"/>
          <w:w w:val="100"/>
          <w:position w:val="0"/>
          <w:shd w:val="clear" w:color="auto" w:fill="auto"/>
          <w:lang w:val="de-DE" w:eastAsia="de-DE" w:bidi="de-DE"/>
        </w:rPr>
        <w:t xml:space="preserve">Hūzāyā </w:t>
      </w:r>
      <w:r>
        <w:rPr>
          <w:spacing w:val="0"/>
          <w:w w:val="100"/>
          <w:position w:val="0"/>
          <w:shd w:val="clear" w:color="auto" w:fill="auto"/>
          <w:lang w:val="en-US" w:eastAsia="en-US" w:bidi="en-US"/>
        </w:rPr>
        <w:t xml:space="preserve">in the school of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who had, it is said, a following of 800 pupils,@@</w:t>
      </w: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 xml:space="preserve"> had dared to assail the doc</w:t>
        <w:softHyphen/>
        <w:t>trines and exegesis of Theodore of Mopsuestia and to follow in some points those of Chrysostom.@@</w:t>
      </w:r>
      <w:r>
        <w:rPr>
          <w:spacing w:val="0"/>
          <w:w w:val="100"/>
          <w:position w:val="0"/>
          <w:shd w:val="clear" w:color="auto" w:fill="auto"/>
          <w:vertAlign w:val="superscript"/>
          <w:lang w:val="en-US" w:eastAsia="en-US" w:bidi="en-US"/>
        </w:rPr>
        <w:t>33</w:t>
      </w:r>
      <w:r>
        <w:rPr>
          <w:spacing w:val="0"/>
          <w:w w:val="100"/>
          <w:position w:val="0"/>
          <w:shd w:val="clear" w:color="auto" w:fill="auto"/>
          <w:lang w:val="en-US" w:eastAsia="en-US" w:bidi="en-US"/>
        </w:rPr>
        <w:t xml:space="preserve"> He commenced his work at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xml:space="preserve">, under the metropolitan </w:t>
      </w:r>
      <w:r>
        <w:rPr>
          <w:spacing w:val="0"/>
          <w:w w:val="100"/>
          <w:position w:val="0"/>
          <w:shd w:val="clear" w:color="auto" w:fill="auto"/>
          <w:lang w:val="de-DE" w:eastAsia="de-DE" w:bidi="de-DE"/>
        </w:rPr>
        <w:t>Ahā-dh’abhū(hi),</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34</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by publishing a revised edition of the statutes of the school.@@</w:t>
      </w:r>
      <w:r>
        <w:rPr>
          <w:spacing w:val="0"/>
          <w:w w:val="100"/>
          <w:position w:val="0"/>
          <w:shd w:val="clear" w:color="auto" w:fill="auto"/>
          <w:vertAlign w:val="superscript"/>
          <w:lang w:val="en-US" w:eastAsia="en-US" w:bidi="en-US"/>
        </w:rPr>
        <w:t>35</w:t>
      </w:r>
      <w:r>
        <w:rPr>
          <w:spacing w:val="0"/>
          <w:w w:val="100"/>
          <w:position w:val="0"/>
          <w:shd w:val="clear" w:color="auto" w:fill="auto"/>
          <w:lang w:val="en-US" w:eastAsia="en-US" w:bidi="en-US"/>
        </w:rPr>
        <w:t xml:space="preserve"> During the time of the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Ezekiel (567-580)@@</w:t>
      </w:r>
      <w:r>
        <w:rPr>
          <w:spacing w:val="0"/>
          <w:w w:val="100"/>
          <w:position w:val="0"/>
          <w:shd w:val="clear" w:color="auto" w:fill="auto"/>
          <w:vertAlign w:val="superscript"/>
          <w:lang w:val="en-US" w:eastAsia="en-US" w:bidi="en-US"/>
        </w:rPr>
        <w:t>36</w:t>
      </w:r>
      <w:r>
        <w:rPr>
          <w:spacing w:val="0"/>
          <w:w w:val="100"/>
          <w:position w:val="0"/>
          <w:shd w:val="clear" w:color="auto" w:fill="auto"/>
          <w:lang w:val="en-US" w:eastAsia="en-US" w:bidi="en-US"/>
        </w:rPr>
        <w:t xml:space="preserve"> he brought forward his theological views, which were condemned at a synod held under the next </w:t>
      </w:r>
      <w:r>
        <w:rPr>
          <w:spacing w:val="0"/>
          <w:w w:val="100"/>
          <w:position w:val="0"/>
          <w:shd w:val="clear" w:color="auto" w:fill="auto"/>
          <w:lang w:val="la-001" w:eastAsia="la-001" w:bidi="la-001"/>
        </w:rPr>
        <w:t xml:space="preserve">catholicus, </w:t>
      </w:r>
      <w:r>
        <w:rPr>
          <w:spacing w:val="0"/>
          <w:w w:val="100"/>
          <w:position w:val="0"/>
          <w:shd w:val="clear" w:color="auto" w:fill="auto"/>
          <w:lang w:val="fr-FR" w:eastAsia="fr-FR" w:bidi="fr-FR"/>
        </w:rPr>
        <w:t xml:space="preserve">īshō'-yabh </w:t>
      </w:r>
      <w:r>
        <w:rPr>
          <w:spacing w:val="0"/>
          <w:w w:val="100"/>
          <w:position w:val="0"/>
          <w:shd w:val="clear" w:color="auto" w:fill="auto"/>
          <w:lang w:val="en-US" w:eastAsia="en-US" w:bidi="en-US"/>
        </w:rPr>
        <w:t xml:space="preserve">of </w:t>
      </w:r>
      <w:r>
        <w:rPr>
          <w:spacing w:val="0"/>
          <w:w w:val="100"/>
          <w:position w:val="0"/>
          <w:shd w:val="clear" w:color="auto" w:fill="auto"/>
          <w:lang w:val="de-DE" w:eastAsia="de-DE" w:bidi="de-DE"/>
        </w:rPr>
        <w:t xml:space="preserve">Arzōn </w:t>
      </w:r>
      <w:r>
        <w:rPr>
          <w:spacing w:val="0"/>
          <w:w w:val="100"/>
          <w:position w:val="0"/>
          <w:shd w:val="clear" w:color="auto" w:fill="auto"/>
          <w:lang w:val="en-US" w:eastAsia="en-US" w:bidi="en-US"/>
        </w:rPr>
        <w:t>(581-595),@@</w:t>
      </w:r>
      <w:r>
        <w:rPr>
          <w:spacing w:val="0"/>
          <w:w w:val="100"/>
          <w:position w:val="0"/>
          <w:shd w:val="clear" w:color="auto" w:fill="auto"/>
          <w:vertAlign w:val="superscript"/>
          <w:lang w:val="en-US" w:eastAsia="en-US" w:bidi="en-US"/>
        </w:rPr>
        <w:t>37</w:t>
      </w:r>
      <w:r>
        <w:rPr>
          <w:spacing w:val="0"/>
          <w:w w:val="100"/>
          <w:position w:val="0"/>
          <w:shd w:val="clear" w:color="auto" w:fill="auto"/>
          <w:lang w:val="en-US" w:eastAsia="en-US" w:bidi="en-US"/>
        </w:rPr>
        <w:t xml:space="preserve"> and at another synod presided over by his successor, </w:t>
      </w:r>
      <w:r>
        <w:rPr>
          <w:spacing w:val="0"/>
          <w:w w:val="100"/>
          <w:position w:val="0"/>
          <w:shd w:val="clear" w:color="auto" w:fill="auto"/>
          <w:lang w:val="de-DE" w:eastAsia="de-DE" w:bidi="de-DE"/>
        </w:rPr>
        <w:t xml:space="preserve">Sabhr-ishō' </w:t>
      </w:r>
      <w:r>
        <w:rPr>
          <w:spacing w:val="0"/>
          <w:w w:val="100"/>
          <w:position w:val="0"/>
          <w:shd w:val="clear" w:color="auto" w:fill="auto"/>
          <w:lang w:val="en-US" w:eastAsia="en-US" w:bidi="en-US"/>
        </w:rPr>
        <w:t>(596-604).@@</w:t>
      </w:r>
      <w:r>
        <w:rPr>
          <w:spacing w:val="0"/>
          <w:w w:val="100"/>
          <w:position w:val="0"/>
          <w:shd w:val="clear" w:color="auto" w:fill="auto"/>
          <w:vertAlign w:val="superscript"/>
          <w:lang w:val="en-US" w:eastAsia="en-US" w:bidi="en-US"/>
        </w:rPr>
        <w:t>38</w:t>
      </w:r>
      <w:r>
        <w:rPr>
          <w:spacing w:val="0"/>
          <w:w w:val="100"/>
          <w:position w:val="0"/>
          <w:shd w:val="clear" w:color="auto" w:fill="auto"/>
          <w:lang w:val="en-US" w:eastAsia="en-US" w:bidi="en-US"/>
        </w:rPr>
        <w:t xml:space="preserve"> On the death of this latter a struggle took place between the rival factions, the orthodox Nestorians putting forward as their candidate Gregory of </w:t>
      </w:r>
      <w:r>
        <w:rPr>
          <w:spacing w:val="0"/>
          <w:w w:val="100"/>
          <w:position w:val="0"/>
          <w:shd w:val="clear" w:color="auto" w:fill="auto"/>
          <w:lang w:val="fr-FR" w:eastAsia="fr-FR" w:bidi="fr-FR"/>
        </w:rPr>
        <w:t>Tell-Besmē,</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39</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bishop of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xml:space="preserve">, whilst the others supported Gregory of Kashkar, a teacher in the school of </w:t>
      </w:r>
      <w:r>
        <w:rPr>
          <w:spacing w:val="0"/>
          <w:w w:val="100"/>
          <w:position w:val="0"/>
          <w:shd w:val="clear" w:color="auto" w:fill="auto"/>
          <w:lang w:val="fr-FR" w:eastAsia="fr-FR" w:bidi="fr-FR"/>
        </w:rPr>
        <w:t xml:space="preserve">Māhōzē </w:t>
      </w:r>
      <w:r>
        <w:rPr>
          <w:spacing w:val="0"/>
          <w:w w:val="100"/>
          <w:position w:val="0"/>
          <w:shd w:val="clear" w:color="auto" w:fill="auto"/>
          <w:lang w:val="en-US" w:eastAsia="en-US" w:bidi="en-US"/>
        </w:rPr>
        <w:t>or Selik (Seleucia).@@</w:t>
      </w:r>
      <w:r>
        <w:rPr>
          <w:spacing w:val="0"/>
          <w:w w:val="100"/>
          <w:position w:val="0"/>
          <w:shd w:val="clear" w:color="auto" w:fill="auto"/>
          <w:vertAlign w:val="superscript"/>
          <w:lang w:val="en-US" w:eastAsia="en-US" w:bidi="en-US"/>
        </w:rPr>
        <w:t>40</w:t>
      </w:r>
      <w:r>
        <w:rPr>
          <w:spacing w:val="0"/>
          <w:w w:val="100"/>
          <w:position w:val="0"/>
          <w:shd w:val="clear" w:color="auto" w:fill="auto"/>
          <w:lang w:val="en-US" w:eastAsia="en-US" w:bidi="en-US"/>
        </w:rPr>
        <w:t xml:space="preserve"> The influence of the Persian court decided the matter in favour of the latter, who was a </w:t>
      </w:r>
      <w:r>
        <w:rPr>
          <w:i/>
          <w:iCs/>
          <w:spacing w:val="0"/>
          <w:w w:val="100"/>
          <w:position w:val="0"/>
          <w:shd w:val="clear" w:color="auto" w:fill="auto"/>
          <w:lang w:val="en-US" w:eastAsia="en-US" w:bidi="en-US"/>
        </w:rPr>
        <w:t>persona grata</w:t>
      </w:r>
      <w:r>
        <w:rPr>
          <w:spacing w:val="0"/>
          <w:w w:val="100"/>
          <w:position w:val="0"/>
          <w:shd w:val="clear" w:color="auto" w:fill="auto"/>
          <w:lang w:val="en-US" w:eastAsia="en-US" w:bidi="en-US"/>
        </w:rPr>
        <w:t xml:space="preserve"> in the eyes of the queen Shirin and her physician Gabriel of </w:t>
      </w:r>
      <w:r>
        <w:rPr>
          <w:spacing w:val="0"/>
          <w:w w:val="100"/>
          <w:position w:val="0"/>
          <w:shd w:val="clear" w:color="auto" w:fill="auto"/>
          <w:lang w:val="fr-FR" w:eastAsia="fr-FR" w:bidi="fr-FR"/>
        </w:rPr>
        <w:t>Sliiggār (Sinj</w:t>
      </w:r>
      <w:r>
        <w:rPr>
          <w:spacing w:val="0"/>
          <w:w w:val="100"/>
          <w:position w:val="0"/>
          <w:shd w:val="clear" w:color="auto" w:fill="auto"/>
          <w:lang w:val="en-US" w:eastAsia="en-US" w:bidi="en-US"/>
        </w:rPr>
        <w:t>ā</w:t>
      </w:r>
      <w:r>
        <w:rPr>
          <w:spacing w:val="0"/>
          <w:w w:val="100"/>
          <w:position w:val="0"/>
          <w:shd w:val="clear" w:color="auto" w:fill="auto"/>
          <w:lang w:val="fr-FR" w:eastAsia="fr-FR" w:bidi="fr-FR"/>
        </w:rPr>
        <w:t>r),</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41</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 keen Monophysite, who naturally availed himself of this oppor</w:t>
        <w:softHyphen/>
        <w:t xml:space="preserve">tunity to harm the rival sect of Christians. Gregory was not, however, a partisan of </w:t>
      </w:r>
      <w:r>
        <w:rPr>
          <w:spacing w:val="0"/>
          <w:w w:val="100"/>
          <w:position w:val="0"/>
          <w:shd w:val="clear" w:color="auto" w:fill="auto"/>
          <w:lang w:val="de-DE" w:eastAsia="de-DE" w:bidi="de-DE"/>
        </w:rPr>
        <w:t xml:space="preserve">Hannānā, </w:t>
      </w:r>
      <w:r>
        <w:rPr>
          <w:spacing w:val="0"/>
          <w:w w:val="100"/>
          <w:position w:val="0"/>
          <w:shd w:val="clear" w:color="auto" w:fill="auto"/>
          <w:lang w:val="en-US" w:eastAsia="en-US" w:bidi="en-US"/>
        </w:rPr>
        <w:t>but an orthodox Nestorian, as appears from the account given of the synod over which he pre</w:t>
        <w:softHyphen/>
        <w:t>sided,@@</w:t>
      </w:r>
      <w:r>
        <w:rPr>
          <w:spacing w:val="0"/>
          <w:w w:val="100"/>
          <w:position w:val="0"/>
          <w:shd w:val="clear" w:color="auto" w:fill="auto"/>
          <w:vertAlign w:val="superscript"/>
          <w:lang w:val="en-US" w:eastAsia="en-US" w:bidi="en-US"/>
        </w:rPr>
        <w:t>42</w:t>
      </w:r>
      <w:r>
        <w:rPr>
          <w:spacing w:val="0"/>
          <w:w w:val="100"/>
          <w:position w:val="0"/>
          <w:shd w:val="clear" w:color="auto" w:fill="auto"/>
          <w:lang w:val="en-US" w:eastAsia="en-US" w:bidi="en-US"/>
        </w:rPr>
        <w:t xml:space="preserve"> by which the Nicene creed was confirmed, the comment</w:t>
        <w:softHyphen/>
        <w:t xml:space="preserve">aries of Theodore of Mopsuestia approved, and the memory and writings of </w:t>
      </w:r>
      <w:r>
        <w:rPr>
          <w:spacing w:val="0"/>
          <w:w w:val="100"/>
          <w:position w:val="0"/>
          <w:shd w:val="clear" w:color="auto" w:fill="auto"/>
          <w:lang w:val="de-DE" w:eastAsia="de-DE" w:bidi="de-DE"/>
        </w:rPr>
        <w:t xml:space="preserve">Bar-saumā </w:t>
      </w:r>
      <w:r>
        <w:rPr>
          <w:spacing w:val="0"/>
          <w:w w:val="100"/>
          <w:position w:val="0"/>
          <w:shd w:val="clear" w:color="auto" w:fill="auto"/>
          <w:lang w:val="en-US" w:eastAsia="en-US" w:bidi="en-US"/>
        </w:rPr>
        <w:t xml:space="preserve">vindicated against his assailants. He died at the end of three years (607), and the archiepiscopal see remained vacant till after the murder of Khosrau </w:t>
      </w:r>
      <w:r>
        <w:rPr>
          <w:spacing w:val="0"/>
          <w:w w:val="100"/>
          <w:position w:val="0"/>
          <w:shd w:val="clear" w:color="auto" w:fill="auto"/>
          <w:lang w:val="fr-FR" w:eastAsia="fr-FR" w:bidi="fr-FR"/>
        </w:rPr>
        <w:t xml:space="preserve">II. Parwēz </w:t>
      </w:r>
      <w:r>
        <w:rPr>
          <w:spacing w:val="0"/>
          <w:w w:val="100"/>
          <w:position w:val="0"/>
          <w:shd w:val="clear" w:color="auto" w:fill="auto"/>
          <w:lang w:val="en-US" w:eastAsia="en-US" w:bidi="en-US"/>
        </w:rPr>
        <w:t xml:space="preserve">in 628, during which time of persecution </w:t>
      </w:r>
      <w:r>
        <w:rPr>
          <w:spacing w:val="0"/>
          <w:w w:val="100"/>
          <w:position w:val="0"/>
          <w:shd w:val="clear" w:color="auto" w:fill="auto"/>
          <w:lang w:val="de-DE" w:eastAsia="de-DE" w:bidi="de-DE"/>
        </w:rPr>
        <w:t xml:space="preserve">Bābhai </w:t>
      </w:r>
      <w:r>
        <w:rPr>
          <w:spacing w:val="0"/>
          <w:w w:val="100"/>
          <w:position w:val="0"/>
          <w:shd w:val="clear" w:color="auto" w:fill="auto"/>
          <w:lang w:val="en-US" w:eastAsia="en-US" w:bidi="en-US"/>
        </w:rPr>
        <w:t xml:space="preserve">the archimandrite distinguished himself as the leader and guide of the Nestorian Church. In the overthrow of Khosrau the oppressed Nestorians bore a part, more especially </w:t>
      </w:r>
      <w:r>
        <w:rPr>
          <w:spacing w:val="0"/>
          <w:w w:val="100"/>
          <w:position w:val="0"/>
          <w:shd w:val="clear" w:color="auto" w:fill="auto"/>
          <w:lang w:val="de-DE" w:eastAsia="de-DE" w:bidi="de-DE"/>
        </w:rPr>
        <w:t>Shamtā</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43</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and Kurta, the sons of the noble Yazdin, who had been the director of the land-tax of the whole kingdom and had amassed an enormous fortune, which the king confiscated.@@</w:t>
      </w:r>
      <w:r>
        <w:rPr>
          <w:spacing w:val="0"/>
          <w:w w:val="100"/>
          <w:position w:val="0"/>
          <w:shd w:val="clear" w:color="auto" w:fill="auto"/>
          <w:vertAlign w:val="superscript"/>
          <w:lang w:val="en-US" w:eastAsia="en-US" w:bidi="en-US"/>
        </w:rPr>
        <w:t xml:space="preserve">44 </w:t>
      </w:r>
      <w:r>
        <w:rPr>
          <w:spacing w:val="0"/>
          <w:w w:val="100"/>
          <w:position w:val="0"/>
          <w:shd w:val="clear" w:color="auto" w:fill="auto"/>
          <w:lang w:val="en-US" w:eastAsia="en-US" w:bidi="en-US"/>
        </w:rPr>
        <w:t xml:space="preserve">To return to </w:t>
      </w:r>
      <w:r>
        <w:rPr>
          <w:spacing w:val="0"/>
          <w:w w:val="100"/>
          <w:position w:val="0"/>
          <w:shd w:val="clear" w:color="auto" w:fill="auto"/>
          <w:lang w:val="de-DE" w:eastAsia="de-DE" w:bidi="de-DE"/>
        </w:rPr>
        <w:t xml:space="preserve">Hannānā, </w:t>
      </w:r>
      <w:r>
        <w:rPr>
          <w:spacing w:val="0"/>
          <w:w w:val="100"/>
          <w:position w:val="0"/>
          <w:shd w:val="clear" w:color="auto" w:fill="auto"/>
          <w:lang w:val="en-US" w:eastAsia="en-US" w:bidi="en-US"/>
        </w:rPr>
        <w:t xml:space="preserve">his works, as enumerated by </w:t>
      </w:r>
      <w:r>
        <w:rPr>
          <w:spacing w:val="0"/>
          <w:w w:val="100"/>
          <w:position w:val="0"/>
          <w:shd w:val="clear" w:color="auto" w:fill="auto"/>
          <w:lang w:val="de-DE" w:eastAsia="de-DE" w:bidi="de-DE"/>
        </w:rPr>
        <w:t>'</w:t>
      </w:r>
      <w:r>
        <w:rPr>
          <w:spacing w:val="0"/>
          <w:w w:val="100"/>
          <w:position w:val="0"/>
          <w:shd w:val="clear" w:color="auto" w:fill="auto"/>
          <w:lang w:val="en-US" w:eastAsia="en-US" w:bidi="en-US"/>
        </w:rPr>
        <w:t>Abhd-īshō</w:t>
      </w:r>
      <w:r>
        <w:rPr>
          <w:spacing w:val="0"/>
          <w:w w:val="100"/>
          <w:position w:val="0"/>
          <w:shd w:val="clear" w:color="auto" w:fill="auto"/>
          <w:lang w:val="de-DE" w:eastAsia="de-DE" w:bidi="de-DE"/>
        </w:rPr>
        <w:t>',</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 xml:space="preserve">45 </w:t>
      </w:r>
      <w:r>
        <w:rPr>
          <w:spacing w:val="0"/>
          <w:w w:val="100"/>
          <w:position w:val="0"/>
          <w:shd w:val="clear" w:color="auto" w:fill="auto"/>
          <w:lang w:val="en-US" w:eastAsia="en-US" w:bidi="en-US"/>
        </w:rPr>
        <w:t>are—commentaries on Genesis, Job, Psalms, Proverbs, Ecclesiastes, the Song of Songs, the twelve minor prophets, the Gospel of St Mark, and the epistles of St Paul ; expositions of the (Nicene) creed and the liturgy ; on the occasions of the celebration of Palm</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@@@1 Rosen,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12.</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Verzeichniss d. orient. </w:t>
      </w:r>
      <w:r>
        <w:rPr>
          <w:i/>
          <w:iCs/>
          <w:spacing w:val="0"/>
          <w:w w:val="100"/>
          <w:position w:val="0"/>
          <w:shd w:val="clear" w:color="auto" w:fill="auto"/>
          <w:lang w:val="de-DE" w:eastAsia="de-DE" w:bidi="de-DE"/>
        </w:rPr>
        <w:t xml:space="preserve">Handschriften </w:t>
      </w:r>
      <w:r>
        <w:rPr>
          <w:i/>
          <w:iCs/>
          <w:spacing w:val="0"/>
          <w:w w:val="100"/>
          <w:position w:val="0"/>
          <w:shd w:val="clear" w:color="auto" w:fill="auto"/>
          <w:lang w:val="en-US" w:eastAsia="en-US" w:bidi="en-US"/>
        </w:rPr>
        <w:t>d. h. Hof- u. Staats-Βibl.,</w:t>
      </w:r>
      <w:r>
        <w:rPr>
          <w:spacing w:val="0"/>
          <w:w w:val="100"/>
          <w:position w:val="0"/>
          <w:shd w:val="clear" w:color="auto" w:fill="auto"/>
          <w:lang w:val="en-US" w:eastAsia="en-US" w:bidi="en-US"/>
        </w:rPr>
        <w:t xml:space="preserve"> &amp;c., p. 111.</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@@@3 See Bickell, </w:t>
      </w:r>
      <w:r>
        <w:rPr>
          <w:i/>
          <w:iCs/>
          <w:spacing w:val="0"/>
          <w:w w:val="100"/>
          <w:position w:val="0"/>
          <w:shd w:val="clear" w:color="auto" w:fill="auto"/>
          <w:lang w:val="en-US" w:eastAsia="en-US" w:bidi="en-US"/>
        </w:rPr>
        <w:t>Conspectus,</w:t>
      </w:r>
      <w:r>
        <w:rPr>
          <w:spacing w:val="0"/>
          <w:w w:val="100"/>
          <w:position w:val="0"/>
          <w:shd w:val="clear" w:color="auto" w:fill="auto"/>
          <w:lang w:val="en-US" w:eastAsia="en-US" w:bidi="en-US"/>
        </w:rPr>
        <w:t xml:space="preserve"> p. 37, and conip.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17219, f. 165b (beg., </w:t>
      </w:r>
      <w:r>
        <w:rPr>
          <w:i/>
          <w:iCs/>
          <w:spacing w:val="0"/>
          <w:w w:val="100"/>
          <w:position w:val="0"/>
          <w:shd w:val="clear" w:color="auto" w:fill="auto"/>
          <w:lang w:val="en-US" w:eastAsia="en-US" w:bidi="en-US"/>
        </w:rPr>
        <w:t>Glory to Thee, Lord ; how good Thou art ∕).</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@@@4 A village near </w:t>
      </w:r>
      <w:r>
        <w:rPr>
          <w:spacing w:val="0"/>
          <w:w w:val="100"/>
          <w:position w:val="0"/>
          <w:shd w:val="clear" w:color="auto" w:fill="auto"/>
          <w:lang w:val="fr-FR" w:eastAsia="fr-FR" w:bidi="fr-FR"/>
        </w:rPr>
        <w:t xml:space="preserve">Arbēl </w:t>
      </w:r>
      <w:r>
        <w:rPr>
          <w:spacing w:val="0"/>
          <w:w w:val="100"/>
          <w:position w:val="0"/>
          <w:shd w:val="clear" w:color="auto" w:fill="auto"/>
          <w:lang w:val="en-US" w:eastAsia="en-US" w:bidi="en-US"/>
        </w:rPr>
        <w:t>or Irbil, in Hedhaiyabh.</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@@@5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 155, col. 1, 431 ; iii. 2, dccclxxiii.</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&gt; Comp.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1,154, note 4, with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 172.</w:t>
      </w:r>
    </w:p>
    <w:p>
      <w:pPr>
        <w:pStyle w:val="Style5"/>
        <w:keepNext w:val="0"/>
        <w:keepLines w:val="0"/>
        <w:widowControl w:val="0"/>
        <w:shd w:val="clear" w:color="auto" w:fill="auto"/>
        <w:tabs>
          <w:tab w:pos="2244" w:val="left"/>
        </w:tabs>
        <w:bidi w:val="0"/>
        <w:spacing w:line="194" w:lineRule="auto"/>
        <w:ind w:left="0" w:firstLine="360"/>
        <w:jc w:val="left"/>
      </w:pPr>
      <w:r>
        <w:rPr>
          <w:spacing w:val="0"/>
          <w:w w:val="100"/>
          <w:position w:val="0"/>
          <w:shd w:val="clear" w:color="auto" w:fill="auto"/>
          <w:lang w:val="en-US" w:eastAsia="en-US" w:bidi="en-US"/>
        </w:rPr>
        <w:t xml:space="preserve">@@@7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 93.</w:t>
        <w:tab/>
      </w:r>
    </w:p>
    <w:p>
      <w:pPr>
        <w:pStyle w:val="Style5"/>
        <w:keepNext w:val="0"/>
        <w:keepLines w:val="0"/>
        <w:widowControl w:val="0"/>
        <w:shd w:val="clear" w:color="auto" w:fill="auto"/>
        <w:tabs>
          <w:tab w:pos="2244" w:val="left"/>
        </w:tabs>
        <w:bidi w:val="0"/>
        <w:spacing w:line="194" w:lineRule="auto"/>
        <w:ind w:left="0" w:firstLine="360"/>
        <w:jc w:val="left"/>
      </w:pPr>
      <w:r>
        <w:rPr>
          <w:spacing w:val="0"/>
          <w:w w:val="100"/>
          <w:position w:val="0"/>
          <w:shd w:val="clear" w:color="auto" w:fill="auto"/>
          <w:lang w:val="en-US" w:eastAsia="en-US" w:bidi="en-US"/>
        </w:rPr>
        <w:t xml:space="preserve">@@@8 See Hoffmann, </w:t>
      </w:r>
      <w:r>
        <w:rPr>
          <w:i/>
          <w:iCs/>
          <w:spacing w:val="0"/>
          <w:w w:val="100"/>
          <w:position w:val="0"/>
          <w:shd w:val="clear" w:color="auto" w:fill="auto"/>
          <w:lang w:val="en-US" w:eastAsia="en-US" w:bidi="en-US"/>
        </w:rPr>
        <w:t>loc. cit.</w:t>
      </w:r>
    </w:p>
    <w:p>
      <w:pPr>
        <w:pStyle w:val="Style5"/>
        <w:keepNext w:val="0"/>
        <w:keepLines w:val="0"/>
        <w:widowControl w:val="0"/>
        <w:shd w:val="clear" w:color="auto" w:fill="auto"/>
        <w:tabs>
          <w:tab w:pos="2567" w:val="left"/>
        </w:tabs>
        <w:bidi w:val="0"/>
        <w:spacing w:line="194" w:lineRule="auto"/>
        <w:ind w:left="0" w:firstLine="360"/>
        <w:jc w:val="left"/>
      </w:pPr>
      <w:r>
        <w:rPr>
          <w:spacing w:val="0"/>
          <w:w w:val="100"/>
          <w:position w:val="0"/>
          <w:shd w:val="clear" w:color="auto" w:fill="auto"/>
          <w:lang w:val="en-US" w:eastAsia="en-US" w:bidi="en-US"/>
        </w:rPr>
        <w:t xml:space="preserve">@@@9 See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14658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1154); Renan, </w:t>
      </w:r>
      <w:r>
        <w:rPr>
          <w:i/>
          <w:iCs/>
          <w:spacing w:val="0"/>
          <w:w w:val="100"/>
          <w:position w:val="0"/>
          <w:shd w:val="clear" w:color="auto" w:fill="auto"/>
          <w:lang w:val="la-001" w:eastAsia="la-001" w:bidi="la-001"/>
        </w:rPr>
        <w:t xml:space="preserve">De Philosophia </w:t>
      </w:r>
      <w:r>
        <w:rPr>
          <w:i/>
          <w:iCs/>
          <w:spacing w:val="0"/>
          <w:w w:val="100"/>
          <w:position w:val="0"/>
          <w:shd w:val="clear" w:color="auto" w:fill="auto"/>
          <w:lang w:val="en-US" w:eastAsia="en-US" w:bidi="en-US"/>
        </w:rPr>
        <w:t xml:space="preserve">Peripat. ap. </w:t>
      </w:r>
      <w:r>
        <w:rPr>
          <w:i/>
          <w:iCs/>
          <w:spacing w:val="0"/>
          <w:w w:val="100"/>
          <w:position w:val="0"/>
          <w:shd w:val="clear" w:color="auto" w:fill="auto"/>
          <w:lang w:val="la-001" w:eastAsia="la-001" w:bidi="la-001"/>
        </w:rPr>
        <w:t>Syros,</w:t>
      </w:r>
      <w:r>
        <w:rPr>
          <w:spacing w:val="0"/>
          <w:w w:val="100"/>
          <w:position w:val="0"/>
          <w:shd w:val="clear" w:color="auto" w:fill="auto"/>
          <w:lang w:val="la-001" w:eastAsia="la-001" w:bidi="la-001"/>
        </w:rPr>
        <w:t xml:space="preserve"> p. </w:t>
      </w:r>
      <w:r>
        <w:rPr>
          <w:spacing w:val="0"/>
          <w:w w:val="100"/>
          <w:position w:val="0"/>
          <w:shd w:val="clear" w:color="auto" w:fill="auto"/>
          <w:lang w:val="en-US" w:eastAsia="en-US" w:bidi="en-US"/>
        </w:rPr>
        <w:t>29.</w:t>
        <w:tab/>
      </w:r>
    </w:p>
    <w:p>
      <w:pPr>
        <w:pStyle w:val="Style5"/>
        <w:keepNext w:val="0"/>
        <w:keepLines w:val="0"/>
        <w:widowControl w:val="0"/>
        <w:shd w:val="clear" w:color="auto" w:fill="auto"/>
        <w:tabs>
          <w:tab w:pos="2727" w:val="left"/>
        </w:tabs>
        <w:bidi w:val="0"/>
        <w:spacing w:line="194"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θ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1,147.</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@@@H See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iii. </w:t>
      </w:r>
      <w:r>
        <w:rPr>
          <w:spacing w:val="0"/>
          <w:w w:val="100"/>
          <w:position w:val="0"/>
          <w:shd w:val="clear" w:color="auto" w:fill="auto"/>
          <w:lang w:val="en-US" w:eastAsia="en-US" w:bidi="en-US"/>
        </w:rPr>
        <w:t xml:space="preserve">1, 147, </w:t>
      </w:r>
      <w:r>
        <w:rPr>
          <w:spacing w:val="0"/>
          <w:w w:val="100"/>
          <w:position w:val="0"/>
          <w:shd w:val="clear" w:color="auto" w:fill="auto"/>
          <w:lang w:val="fr-FR" w:eastAsia="fr-FR" w:bidi="fr-FR"/>
        </w:rPr>
        <w:t xml:space="preserve">note </w:t>
      </w:r>
      <w:r>
        <w:rPr>
          <w:spacing w:val="0"/>
          <w:w w:val="100"/>
          <w:position w:val="0"/>
          <w:shd w:val="clear" w:color="auto" w:fill="auto"/>
          <w:lang w:val="en-US" w:eastAsia="en-US" w:bidi="en-US"/>
        </w:rPr>
        <w:t xml:space="preserve">4, </w:t>
      </w:r>
      <w:r>
        <w:rPr>
          <w:spacing w:val="0"/>
          <w:w w:val="100"/>
          <w:position w:val="0"/>
          <w:shd w:val="clear" w:color="auto" w:fill="auto"/>
          <w:lang w:val="fr-FR" w:eastAsia="fr-FR" w:bidi="fr-FR"/>
        </w:rPr>
        <w:t xml:space="preserve">and </w:t>
      </w:r>
      <w:r>
        <w:rPr>
          <w:spacing w:val="0"/>
          <w:w w:val="100"/>
          <w:position w:val="0"/>
          <w:shd w:val="clear" w:color="auto" w:fill="auto"/>
          <w:lang w:val="en-US" w:eastAsia="en-US" w:bidi="en-US"/>
        </w:rPr>
        <w:t xml:space="preserve">633 </w:t>
      </w:r>
      <w:r>
        <w:rPr>
          <w:spacing w:val="0"/>
          <w:w w:val="100"/>
          <w:position w:val="0"/>
          <w:shd w:val="clear" w:color="auto" w:fill="auto"/>
          <w:lang w:val="fr-FR" w:eastAsia="fr-FR" w:bidi="fr-FR"/>
        </w:rPr>
        <w:t xml:space="preserve">; iii. </w:t>
      </w:r>
      <w:r>
        <w:rPr>
          <w:spacing w:val="0"/>
          <w:w w:val="100"/>
          <w:position w:val="0"/>
          <w:shd w:val="clear" w:color="auto" w:fill="auto"/>
          <w:lang w:val="en-US" w:eastAsia="en-US" w:bidi="en-US"/>
        </w:rPr>
        <w:t xml:space="preserve">2, </w:t>
      </w:r>
      <w:r>
        <w:rPr>
          <w:spacing w:val="0"/>
          <w:w w:val="100"/>
          <w:position w:val="0"/>
          <w:shd w:val="clear" w:color="auto" w:fill="auto"/>
          <w:lang w:val="fr-FR" w:eastAsia="fr-FR" w:bidi="fr-FR"/>
        </w:rPr>
        <w:t xml:space="preserve">dccclxii.; Bar-Hebræus, </w:t>
      </w:r>
      <w:r>
        <w:rPr>
          <w:i/>
          <w:iCs/>
          <w:spacing w:val="0"/>
          <w:w w:val="100"/>
          <w:position w:val="0"/>
          <w:shd w:val="clear" w:color="auto" w:fill="auto"/>
          <w:lang w:val="fr-FR" w:eastAsia="fr-FR" w:bidi="fr-FR"/>
        </w:rPr>
        <w:t xml:space="preserve">Chron. </w:t>
      </w:r>
      <w:r>
        <w:rPr>
          <w:i/>
          <w:iCs/>
          <w:spacing w:val="0"/>
          <w:w w:val="100"/>
          <w:position w:val="0"/>
          <w:shd w:val="clear" w:color="auto" w:fill="auto"/>
          <w:lang w:val="en-US" w:eastAsia="en-US" w:bidi="en-US"/>
        </w:rPr>
        <w:t>Eccles.,</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i. </w:t>
      </w:r>
      <w:r>
        <w:rPr>
          <w:spacing w:val="0"/>
          <w:w w:val="100"/>
          <w:position w:val="0"/>
          <w:shd w:val="clear" w:color="auto" w:fill="auto"/>
          <w:lang w:val="en-US" w:eastAsia="en-US" w:bidi="en-US"/>
        </w:rPr>
        <w:t xml:space="preserve">85, with </w:t>
      </w:r>
      <w:r>
        <w:rPr>
          <w:spacing w:val="0"/>
          <w:w w:val="100"/>
          <w:position w:val="0"/>
          <w:shd w:val="clear" w:color="auto" w:fill="auto"/>
          <w:lang w:val="fr-FR" w:eastAsia="fr-FR" w:bidi="fr-FR"/>
        </w:rPr>
        <w:t xml:space="preserve">note </w:t>
      </w:r>
      <w:r>
        <w:rPr>
          <w:spacing w:val="0"/>
          <w:w w:val="100"/>
          <w:position w:val="0"/>
          <w:shd w:val="clear" w:color="auto" w:fill="auto"/>
          <w:lang w:val="en-US" w:eastAsia="en-US" w:bidi="en-US"/>
        </w:rPr>
        <w:t xml:space="preserve">5 </w:t>
      </w:r>
      <w:r>
        <w:rPr>
          <w:spacing w:val="0"/>
          <w:w w:val="100"/>
          <w:position w:val="0"/>
          <w:shd w:val="clear" w:color="auto" w:fill="auto"/>
          <w:lang w:val="fr-FR" w:eastAsia="fr-FR" w:bidi="fr-FR"/>
        </w:rPr>
        <w:t xml:space="preserve">;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167. If the poem mentioned by Assemani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1,147, note 4) really speaks of Abraham of Kashkar and still more of </w:t>
      </w:r>
      <w:r>
        <w:rPr>
          <w:spacing w:val="0"/>
          <w:w w:val="100"/>
          <w:position w:val="0"/>
          <w:shd w:val="clear" w:color="auto" w:fill="auto"/>
          <w:lang w:val="de-DE" w:eastAsia="de-DE" w:bidi="de-DE"/>
        </w:rPr>
        <w:t xml:space="preserve">Bābhai </w:t>
      </w:r>
      <w:r>
        <w:rPr>
          <w:spacing w:val="0"/>
          <w:w w:val="100"/>
          <w:position w:val="0"/>
          <w:shd w:val="clear" w:color="auto" w:fill="auto"/>
          <w:lang w:val="en-US" w:eastAsia="en-US" w:bidi="en-US"/>
        </w:rPr>
        <w:t xml:space="preserve">of </w:t>
      </w:r>
      <w:r>
        <w:rPr>
          <w:rStyle w:val="CharStyle3"/>
          <w:lang w:val="de-DE" w:eastAsia="de-DE" w:bidi="de-DE"/>
        </w:rPr>
        <w:t>Nis</w:t>
      </w:r>
      <w:r>
        <w:rPr>
          <w:rStyle w:val="CharStyle3"/>
        </w:rPr>
        <w:t>ī</w:t>
      </w:r>
      <w:r>
        <w:rPr>
          <w:rStyle w:val="CharStyle3"/>
          <w:lang w:val="de-DE" w:eastAsia="de-DE" w:bidi="de-DE"/>
        </w:rPr>
        <w:t>bis</w:t>
      </w:r>
      <w:r>
        <w:rPr>
          <w:spacing w:val="0"/>
          <w:w w:val="100"/>
          <w:position w:val="0"/>
          <w:shd w:val="clear" w:color="auto" w:fill="auto"/>
          <w:lang w:val="en-US" w:eastAsia="en-US" w:bidi="en-US"/>
        </w:rPr>
        <w:t xml:space="preserve">, it must be of later date, and Hoffmann is inclined to ascribe it to George </w:t>
      </w:r>
      <w:r>
        <w:rPr>
          <w:spacing w:val="0"/>
          <w:w w:val="100"/>
          <w:position w:val="0"/>
          <w:shd w:val="clear" w:color="auto" w:fill="auto"/>
          <w:lang w:val="fr-FR" w:eastAsia="fr-FR" w:bidi="fr-FR"/>
        </w:rPr>
        <w:t xml:space="preserve">Wardā, </w:t>
      </w:r>
      <w:r>
        <w:rPr>
          <w:spacing w:val="0"/>
          <w:w w:val="100"/>
          <w:position w:val="0"/>
          <w:shd w:val="clear" w:color="auto" w:fill="auto"/>
          <w:lang w:val="en-US" w:eastAsia="en-US" w:bidi="en-US"/>
        </w:rPr>
        <w:t xml:space="preserve">a writer of the 13th century (see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 171, note 1327).</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@@@12 A corruption of </w:t>
      </w:r>
      <w:r>
        <w:rPr>
          <w:spacing w:val="0"/>
          <w:w w:val="100"/>
          <w:position w:val="0"/>
          <w:shd w:val="clear" w:color="auto" w:fill="auto"/>
          <w:lang w:val="fr-FR" w:eastAsia="fr-FR" w:bidi="fr-FR"/>
        </w:rPr>
        <w:t xml:space="preserve">Hormizd-Ardashēr, </w:t>
      </w:r>
      <w:r>
        <w:rPr>
          <w:spacing w:val="0"/>
          <w:w w:val="100"/>
          <w:position w:val="0"/>
          <w:shd w:val="clear" w:color="auto" w:fill="auto"/>
          <w:lang w:val="en-US" w:eastAsia="en-US" w:bidi="en-US"/>
        </w:rPr>
        <w:t xml:space="preserve">still further shortened by the Arabs into Hormushir. It is identical with Sfιk </w:t>
      </w:r>
      <w:r>
        <w:rPr>
          <w:spacing w:val="0"/>
          <w:w w:val="100"/>
          <w:position w:val="0"/>
          <w:shd w:val="clear" w:color="auto" w:fill="auto"/>
          <w:lang w:val="fr-FR" w:eastAsia="fr-FR" w:bidi="fr-FR"/>
        </w:rPr>
        <w:t xml:space="preserve">al-Ahwāz, </w:t>
      </w:r>
      <w:r>
        <w:rPr>
          <w:spacing w:val="0"/>
          <w:w w:val="100"/>
          <w:position w:val="0"/>
          <w:shd w:val="clear" w:color="auto" w:fill="auto"/>
          <w:lang w:val="en-US" w:eastAsia="en-US" w:bidi="en-US"/>
        </w:rPr>
        <w:t xml:space="preserve">or simply </w:t>
      </w:r>
      <w:r>
        <w:rPr>
          <w:spacing w:val="0"/>
          <w:w w:val="100"/>
          <w:position w:val="0"/>
          <w:shd w:val="clear" w:color="auto" w:fill="auto"/>
          <w:lang w:val="de-DE" w:eastAsia="de-DE" w:bidi="de-DE"/>
        </w:rPr>
        <w:t xml:space="preserve">al-Ahwāz, </w:t>
      </w:r>
      <w:r>
        <w:rPr>
          <w:spacing w:val="0"/>
          <w:w w:val="100"/>
          <w:position w:val="0"/>
          <w:shd w:val="clear" w:color="auto" w:fill="auto"/>
          <w:lang w:val="en-US" w:eastAsia="en-US" w:bidi="en-US"/>
        </w:rPr>
        <w:t xml:space="preserve">on the river </w:t>
      </w:r>
      <w:r>
        <w:rPr>
          <w:spacing w:val="0"/>
          <w:w w:val="100"/>
          <w:position w:val="0"/>
          <w:shd w:val="clear" w:color="auto" w:fill="auto"/>
          <w:lang w:val="de-DE" w:eastAsia="de-DE" w:bidi="de-DE"/>
        </w:rPr>
        <w:t xml:space="preserve">Kārūn. </w:t>
      </w:r>
      <w:r>
        <w:rPr>
          <w:spacing w:val="0"/>
          <w:w w:val="100"/>
          <w:position w:val="0"/>
          <w:shd w:val="clear" w:color="auto" w:fill="auto"/>
          <w:lang w:val="en-US" w:eastAsia="en-US" w:bidi="en-US"/>
        </w:rPr>
        <w:t xml:space="preserve">See </w:t>
      </w:r>
      <w:r>
        <w:rPr>
          <w:spacing w:val="0"/>
          <w:w w:val="100"/>
          <w:position w:val="0"/>
          <w:shd w:val="clear" w:color="auto" w:fill="auto"/>
          <w:lang w:val="de-DE" w:eastAsia="de-DE" w:bidi="de-DE"/>
        </w:rPr>
        <w:t xml:space="preserve">Nōldeke, </w:t>
      </w:r>
      <w:r>
        <w:rPr>
          <w:i/>
          <w:iCs/>
          <w:spacing w:val="0"/>
          <w:w w:val="100"/>
          <w:position w:val="0"/>
          <w:shd w:val="clear" w:color="auto" w:fill="auto"/>
          <w:lang w:val="en-US" w:eastAsia="en-US" w:bidi="en-US"/>
        </w:rPr>
        <w:t xml:space="preserve">Gesch. d. </w:t>
      </w:r>
      <w:r>
        <w:rPr>
          <w:i/>
          <w:iCs/>
          <w:spacing w:val="0"/>
          <w:w w:val="100"/>
          <w:position w:val="0"/>
          <w:shd w:val="clear" w:color="auto" w:fill="auto"/>
          <w:lang w:val="de-DE" w:eastAsia="de-DE" w:bidi="de-DE"/>
        </w:rPr>
        <w:t xml:space="preserve">Perser </w:t>
      </w:r>
      <w:r>
        <w:rPr>
          <w:i/>
          <w:iCs/>
          <w:spacing w:val="0"/>
          <w:w w:val="100"/>
          <w:position w:val="0"/>
          <w:shd w:val="clear" w:color="auto" w:fill="auto"/>
          <w:lang w:val="en-US" w:eastAsia="en-US" w:bidi="en-US"/>
        </w:rPr>
        <w:t xml:space="preserve">u. </w:t>
      </w:r>
      <w:r>
        <w:rPr>
          <w:i/>
          <w:iCs/>
          <w:spacing w:val="0"/>
          <w:w w:val="100"/>
          <w:position w:val="0"/>
          <w:shd w:val="clear" w:color="auto" w:fill="auto"/>
          <w:lang w:val="de-DE" w:eastAsia="de-DE" w:bidi="de-DE"/>
        </w:rPr>
        <w:t>Araber,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 19, with note 5.</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@@@13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 147.</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@@@14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iii. i. 435. Elias bar </w:t>
      </w:r>
      <w:r>
        <w:rPr>
          <w:spacing w:val="0"/>
          <w:w w:val="100"/>
          <w:position w:val="0"/>
          <w:shd w:val="clear" w:color="auto" w:fill="auto"/>
          <w:lang w:val="fr-FR" w:eastAsia="fr-FR" w:bidi="fr-FR"/>
        </w:rPr>
        <w:t xml:space="preserve">Shlnāyā </w:t>
      </w:r>
      <w:r>
        <w:rPr>
          <w:spacing w:val="0"/>
          <w:w w:val="100"/>
          <w:position w:val="0"/>
          <w:shd w:val="clear" w:color="auto" w:fill="auto"/>
          <w:lang w:val="en-US" w:eastAsia="en-US" w:bidi="en-US"/>
        </w:rPr>
        <w:t xml:space="preserve">cites his “ synod" ; see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96, note 1.</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@@@15 In his </w:t>
      </w:r>
      <w:r>
        <w:rPr>
          <w:i/>
          <w:iCs/>
          <w:spacing w:val="0"/>
          <w:w w:val="100"/>
          <w:position w:val="0"/>
          <w:shd w:val="clear" w:color="auto" w:fill="auto"/>
          <w:lang w:val="en-US" w:eastAsia="en-US" w:bidi="en-US"/>
        </w:rPr>
        <w:t>Nomocanon,</w:t>
      </w:r>
      <w:r>
        <w:rPr>
          <w:spacing w:val="0"/>
          <w:w w:val="100"/>
          <w:position w:val="0"/>
          <w:shd w:val="clear" w:color="auto" w:fill="auto"/>
          <w:lang w:val="en-US" w:eastAsia="en-US" w:bidi="en-US"/>
        </w:rPr>
        <w:t xml:space="preserve"> quoted by Assemani,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434.</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@@@16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31.</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@@@17 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435-439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97,103.</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@@@18 B.O., iii. 1, 439 ; Renan,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Philos. Peripat. ap. </w:t>
      </w:r>
      <w:r>
        <w:rPr>
          <w:i/>
          <w:iCs/>
          <w:spacing w:val="0"/>
          <w:w w:val="100"/>
          <w:position w:val="0"/>
          <w:shd w:val="clear" w:color="auto" w:fill="auto"/>
          <w:lang w:val="la-001" w:eastAsia="la-001" w:bidi="la-001"/>
        </w:rPr>
        <w:t>Syros,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pp. 16-22.</w:t>
      </w:r>
    </w:p>
    <w:p>
      <w:pPr>
        <w:pStyle w:val="Style5"/>
        <w:keepNext w:val="0"/>
        <w:keepLines w:val="0"/>
        <w:widowControl w:val="0"/>
        <w:shd w:val="clear" w:color="auto" w:fill="auto"/>
        <w:tabs>
          <w:tab w:pos="848" w:val="left"/>
        </w:tabs>
        <w:bidi w:val="0"/>
        <w:spacing w:line="194" w:lineRule="auto"/>
        <w:ind w:left="0" w:firstLine="360"/>
        <w:jc w:val="left"/>
      </w:pPr>
      <w:r>
        <w:rPr>
          <w:spacing w:val="0"/>
          <w:w w:val="100"/>
          <w:position w:val="0"/>
          <w:shd w:val="clear" w:color="auto" w:fill="auto"/>
          <w:lang w:val="en-US" w:eastAsia="en-US" w:bidi="en-US"/>
        </w:rPr>
        <w:t>@@@19 a place not known to the present writer.</w:t>
      </w:r>
    </w:p>
    <w:p>
      <w:pPr>
        <w:pStyle w:val="Style5"/>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 xml:space="preserve">@@@2θ See </w:t>
      </w:r>
      <w:r>
        <w:rPr>
          <w:spacing w:val="0"/>
          <w:w w:val="100"/>
          <w:position w:val="0"/>
          <w:shd w:val="clear" w:color="auto" w:fill="auto"/>
          <w:lang w:val="de-DE" w:eastAsia="de-DE" w:bidi="de-DE"/>
        </w:rPr>
        <w:t xml:space="preserve">Nōldeke, </w:t>
      </w:r>
      <w:r>
        <w:rPr>
          <w:i/>
          <w:iCs/>
          <w:spacing w:val="0"/>
          <w:w w:val="100"/>
          <w:position w:val="0"/>
          <w:shd w:val="clear" w:color="auto" w:fill="auto"/>
          <w:lang w:val="en-US" w:eastAsia="en-US" w:bidi="en-US"/>
        </w:rPr>
        <w:t xml:space="preserve">Gesch. d. </w:t>
      </w:r>
      <w:r>
        <w:rPr>
          <w:i/>
          <w:iCs/>
          <w:spacing w:val="0"/>
          <w:w w:val="100"/>
          <w:position w:val="0"/>
          <w:shd w:val="clear" w:color="auto" w:fill="auto"/>
          <w:lang w:val="de-DE" w:eastAsia="de-DE" w:bidi="de-DE"/>
        </w:rPr>
        <w:t xml:space="preserve">Perser </w:t>
      </w:r>
      <w:r>
        <w:rPr>
          <w:i/>
          <w:iCs/>
          <w:spacing w:val="0"/>
          <w:w w:val="100"/>
          <w:position w:val="0"/>
          <w:shd w:val="clear" w:color="auto" w:fill="auto"/>
          <w:lang w:val="en-US" w:eastAsia="en-US" w:bidi="en-US"/>
        </w:rPr>
        <w:t>u. Amber,</w:t>
      </w:r>
      <w:r>
        <w:rPr>
          <w:spacing w:val="0"/>
          <w:w w:val="100"/>
          <w:position w:val="0"/>
          <w:shd w:val="clear" w:color="auto" w:fill="auto"/>
          <w:lang w:val="en-US" w:eastAsia="en-US" w:bidi="en-US"/>
        </w:rPr>
        <w:t xml:space="preserve"> p. 160, note 3.</w:t>
      </w:r>
    </w:p>
    <w:p>
      <w:pPr>
        <w:pStyle w:val="Style5"/>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 xml:space="preserve">@@@si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97.</w:t>
      </w:r>
    </w:p>
    <w:p>
      <w:pPr>
        <w:pStyle w:val="Style5"/>
        <w:keepNext w:val="0"/>
        <w:keepLines w:val="0"/>
        <w:widowControl w:val="0"/>
        <w:shd w:val="clear" w:color="auto" w:fill="auto"/>
        <w:tabs>
          <w:tab w:pos="302" w:val="left"/>
        </w:tabs>
        <w:bidi w:val="0"/>
        <w:spacing w:line="197" w:lineRule="auto"/>
        <w:ind w:left="0" w:firstLine="360"/>
        <w:jc w:val="left"/>
      </w:pPr>
      <w:r>
        <w:rPr>
          <w:spacing w:val="0"/>
          <w:w w:val="100"/>
          <w:position w:val="0"/>
          <w:shd w:val="clear" w:color="auto" w:fill="auto"/>
          <w:lang w:val="en-US" w:eastAsia="en-US" w:bidi="en-US"/>
        </w:rPr>
        <w:t>@@@22</w:t>
        <w:tab/>
        <w:t xml:space="preserve">In the Preface to his </w:t>
      </w:r>
      <w:r>
        <w:rPr>
          <w:i/>
          <w:iCs/>
          <w:spacing w:val="0"/>
          <w:w w:val="100"/>
          <w:position w:val="0"/>
          <w:shd w:val="clear" w:color="auto" w:fill="auto"/>
          <w:lang w:val="en-US" w:eastAsia="en-US" w:bidi="en-US"/>
        </w:rPr>
        <w:t>Logic,</w:t>
      </w:r>
      <w:r>
        <w:rPr>
          <w:spacing w:val="0"/>
          <w:w w:val="100"/>
          <w:position w:val="0"/>
          <w:shd w:val="clear" w:color="auto" w:fill="auto"/>
          <w:lang w:val="en-US" w:eastAsia="en-US" w:bidi="en-US"/>
        </w:rPr>
        <w:t xml:space="preserve"> as translated by Land (see note 25 below).</w:t>
      </w:r>
    </w:p>
    <w:p>
      <w:pPr>
        <w:pStyle w:val="Style5"/>
        <w:keepNext w:val="0"/>
        <w:keepLines w:val="0"/>
        <w:widowControl w:val="0"/>
        <w:shd w:val="clear" w:color="auto" w:fill="auto"/>
        <w:tabs>
          <w:tab w:pos="306" w:val="left"/>
          <w:tab w:pos="1738" w:val="left"/>
        </w:tabs>
        <w:bidi w:val="0"/>
        <w:spacing w:line="197"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23</w:t>
        <w:tab/>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97.</w:t>
        <w:tab/>
      </w:r>
    </w:p>
    <w:p>
      <w:pPr>
        <w:pStyle w:val="Style5"/>
        <w:keepNext w:val="0"/>
        <w:keepLines w:val="0"/>
        <w:widowControl w:val="0"/>
        <w:shd w:val="clear" w:color="auto" w:fill="auto"/>
        <w:tabs>
          <w:tab w:pos="306" w:val="left"/>
          <w:tab w:pos="1738" w:val="left"/>
        </w:tabs>
        <w:bidi w:val="0"/>
        <w:spacing w:line="197"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Add. 14660, f. 55b ; see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1161.</w:t>
      </w:r>
    </w:p>
    <w:p>
      <w:pPr>
        <w:pStyle w:val="Style5"/>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 xml:space="preserve">@@@25 </w:t>
      </w:r>
      <w:r>
        <w:rPr>
          <w:i/>
          <w:iCs/>
          <w:spacing w:val="0"/>
          <w:w w:val="100"/>
          <w:position w:val="0"/>
          <w:shd w:val="clear" w:color="auto" w:fill="auto"/>
          <w:lang w:val="en-US" w:eastAsia="en-US" w:bidi="en-US"/>
        </w:rPr>
        <w:t>A need. Syr.,</w:t>
      </w:r>
      <w:r>
        <w:rPr>
          <w:spacing w:val="0"/>
          <w:w w:val="100"/>
          <w:position w:val="0"/>
          <w:shd w:val="clear" w:color="auto" w:fill="auto"/>
          <w:lang w:val="en-US" w:eastAsia="en-US" w:bidi="en-US"/>
        </w:rPr>
        <w:t xml:space="preserve"> iv., Syr. text, pp. 1-32 ; </w:t>
      </w:r>
      <w:r>
        <w:rPr>
          <w:spacing w:val="0"/>
          <w:w w:val="100"/>
          <w:position w:val="0"/>
          <w:shd w:val="clear" w:color="auto" w:fill="auto"/>
          <w:lang w:val="fr-FR" w:eastAsia="fr-FR" w:bidi="fr-FR"/>
        </w:rPr>
        <w:t xml:space="preserve">transi., </w:t>
      </w:r>
      <w:r>
        <w:rPr>
          <w:spacing w:val="0"/>
          <w:w w:val="100"/>
          <w:position w:val="0"/>
          <w:shd w:val="clear" w:color="auto" w:fill="auto"/>
          <w:lang w:val="en-US" w:eastAsia="en-US" w:bidi="en-US"/>
        </w:rPr>
        <w:t>pp. 1-30 ; notes, pp. 99-113.</w:t>
      </w:r>
    </w:p>
    <w:p>
      <w:pPr>
        <w:pStyle w:val="Style5"/>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@@@2β Λ.O., iii. 1, 219.</w:t>
      </w:r>
    </w:p>
    <w:p>
      <w:pPr>
        <w:pStyle w:val="Style5"/>
        <w:keepNext w:val="0"/>
        <w:keepLines w:val="0"/>
        <w:widowControl w:val="0"/>
        <w:shd w:val="clear" w:color="auto" w:fill="auto"/>
        <w:tabs>
          <w:tab w:pos="277" w:val="left"/>
        </w:tabs>
        <w:bidi w:val="0"/>
        <w:spacing w:line="197"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27 </w:t>
      </w:r>
      <w:r>
        <w:rPr>
          <w:spacing w:val="0"/>
          <w:w w:val="100"/>
          <w:position w:val="0"/>
          <w:shd w:val="clear" w:color="auto" w:fill="auto"/>
          <w:lang w:val="en-US" w:eastAsia="en-US" w:bidi="en-US"/>
        </w:rPr>
        <w:t xml:space="preserve">Assemani, </w:t>
      </w:r>
      <w:r>
        <w:rPr>
          <w:i/>
          <w:iCs/>
          <w:spacing w:val="0"/>
          <w:w w:val="100"/>
          <w:position w:val="0"/>
          <w:shd w:val="clear" w:color="auto" w:fill="auto"/>
          <w:lang w:val="en-US" w:eastAsia="en-US" w:bidi="en-US"/>
        </w:rPr>
        <w:t>loc. cit.,</w:t>
      </w:r>
      <w:r>
        <w:rPr>
          <w:spacing w:val="0"/>
          <w:w w:val="100"/>
          <w:position w:val="0"/>
          <w:shd w:val="clear" w:color="auto" w:fill="auto"/>
          <w:lang w:val="en-US" w:eastAsia="en-US" w:bidi="en-US"/>
        </w:rPr>
        <w:t xml:space="preserve"> note 1, proposes to read </w:t>
      </w:r>
      <w:r>
        <w:rPr>
          <w:i/>
          <w:iCs/>
          <w:spacing w:val="0"/>
          <w:w w:val="100"/>
          <w:position w:val="0"/>
          <w:shd w:val="clear" w:color="auto" w:fill="auto"/>
          <w:lang w:val="en-US" w:eastAsia="en-US" w:bidi="en-US"/>
        </w:rPr>
        <w:t>Aleph Melιin,</w:t>
      </w:r>
      <w:r>
        <w:rPr>
          <w:spacing w:val="0"/>
          <w:w w:val="100"/>
          <w:position w:val="0"/>
          <w:shd w:val="clear" w:color="auto" w:fill="auto"/>
          <w:lang w:val="en-US" w:eastAsia="en-US" w:bidi="en-US"/>
        </w:rPr>
        <w:t xml:space="preserve"> “the Thousand words ” ; but </w:t>
      </w:r>
      <w:r>
        <w:rPr>
          <w:i/>
          <w:iCs/>
          <w:spacing w:val="0"/>
          <w:w w:val="100"/>
          <w:position w:val="0"/>
          <w:shd w:val="clear" w:color="auto" w:fill="auto"/>
          <w:lang w:val="en-US" w:eastAsia="en-US" w:bidi="en-US"/>
        </w:rPr>
        <w:t xml:space="preserve">Aleph </w:t>
      </w:r>
      <w:r>
        <w:rPr>
          <w:i/>
          <w:iCs/>
          <w:spacing w:val="0"/>
          <w:w w:val="100"/>
          <w:position w:val="0"/>
          <w:shd w:val="clear" w:color="auto" w:fill="auto"/>
          <w:lang w:val="fr-FR" w:eastAsia="fr-FR" w:bidi="fr-FR"/>
        </w:rPr>
        <w:t>Mīgīn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is more likely to be a corruption of some Greek word.</w:t>
      </w:r>
    </w:p>
    <w:p>
      <w:pPr>
        <w:pStyle w:val="Style5"/>
        <w:keepNext w:val="0"/>
        <w:keepLines w:val="0"/>
        <w:widowControl w:val="0"/>
        <w:shd w:val="clear" w:color="auto" w:fill="auto"/>
        <w:tabs>
          <w:tab w:pos="298" w:val="left"/>
        </w:tabs>
        <w:bidi w:val="0"/>
        <w:spacing w:line="197" w:lineRule="auto"/>
        <w:ind w:left="0" w:firstLine="360"/>
        <w:jc w:val="left"/>
      </w:pPr>
      <w:r>
        <w:rPr>
          <w:spacing w:val="0"/>
          <w:w w:val="100"/>
          <w:position w:val="0"/>
          <w:shd w:val="clear" w:color="auto" w:fill="auto"/>
          <w:lang w:val="en-US" w:eastAsia="en-US" w:bidi="en-US"/>
        </w:rPr>
        <w:t>@@@28</w:t>
        <w:tab/>
        <w:t>The Syriac title keeps the older forms Kalilagh and Damnagh.</w:t>
      </w:r>
    </w:p>
    <w:p>
      <w:pPr>
        <w:pStyle w:val="Style5"/>
        <w:keepNext w:val="0"/>
        <w:keepLines w:val="0"/>
        <w:widowControl w:val="0"/>
        <w:shd w:val="clear" w:color="auto" w:fill="auto"/>
        <w:tabs>
          <w:tab w:pos="298" w:val="left"/>
        </w:tabs>
        <w:bidi w:val="0"/>
        <w:spacing w:line="197" w:lineRule="auto"/>
        <w:ind w:left="0" w:firstLine="360"/>
        <w:jc w:val="left"/>
      </w:pPr>
      <w:r>
        <w:rPr>
          <w:spacing w:val="0"/>
          <w:w w:val="100"/>
          <w:position w:val="0"/>
          <w:shd w:val="clear" w:color="auto" w:fill="auto"/>
          <w:lang w:val="en-US" w:eastAsia="en-US" w:bidi="en-US"/>
        </w:rPr>
        <w:t>@@@29</w:t>
        <w:tab/>
      </w:r>
      <w:r>
        <w:rPr>
          <w:spacing w:val="0"/>
          <w:w w:val="100"/>
          <w:position w:val="0"/>
          <w:shd w:val="clear" w:color="auto" w:fill="auto"/>
          <w:lang w:val="de-DE" w:eastAsia="de-DE" w:bidi="de-DE"/>
        </w:rPr>
        <w:t xml:space="preserve">Gōttingen, </w:t>
      </w:r>
      <w:r>
        <w:rPr>
          <w:spacing w:val="0"/>
          <w:w w:val="100"/>
          <w:position w:val="0"/>
          <w:shd w:val="clear" w:color="auto" w:fill="auto"/>
          <w:lang w:val="en-US" w:eastAsia="en-US" w:bidi="en-US"/>
        </w:rPr>
        <w:t>university library, MS. Orient. 18d.</w:t>
      </w:r>
    </w:p>
    <w:p>
      <w:pPr>
        <w:pStyle w:val="Style5"/>
        <w:keepNext w:val="0"/>
        <w:keepLines w:val="0"/>
        <w:widowControl w:val="0"/>
        <w:shd w:val="clear" w:color="auto" w:fill="auto"/>
        <w:tabs>
          <w:tab w:pos="306" w:val="left"/>
        </w:tabs>
        <w:bidi w:val="0"/>
        <w:spacing w:line="197"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30</w:t>
        <w:tab/>
      </w:r>
      <w:r>
        <w:rPr>
          <w:spacing w:val="0"/>
          <w:w w:val="100"/>
          <w:position w:val="0"/>
          <w:shd w:val="clear" w:color="auto" w:fill="auto"/>
          <w:lang w:val="en-US" w:eastAsia="en-US" w:bidi="en-US"/>
        </w:rPr>
        <w:t xml:space="preserve">Berlin, Royal Library,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139, 149, 150.</w:t>
      </w:r>
    </w:p>
    <w:p>
      <w:pPr>
        <w:pStyle w:val="Style5"/>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 xml:space="preserve">@@@21 See Keith-Falconer, </w:t>
      </w:r>
      <w:r>
        <w:rPr>
          <w:i/>
          <w:iCs/>
          <w:spacing w:val="0"/>
          <w:w w:val="100"/>
          <w:position w:val="0"/>
          <w:shd w:val="clear" w:color="auto" w:fill="auto"/>
          <w:lang w:val="fr-FR" w:eastAsia="fr-FR" w:bidi="fr-FR"/>
        </w:rPr>
        <w:t xml:space="preserve">Kalīlah </w:t>
      </w:r>
      <w:r>
        <w:rPr>
          <w:i/>
          <w:iCs/>
          <w:spacing w:val="0"/>
          <w:w w:val="100"/>
          <w:position w:val="0"/>
          <w:shd w:val="clear" w:color="auto" w:fill="auto"/>
          <w:lang w:val="en-US" w:eastAsia="en-US" w:bidi="en-US"/>
        </w:rPr>
        <w:t>and Dimnah,</w:t>
      </w:r>
      <w:r>
        <w:rPr>
          <w:spacing w:val="0"/>
          <w:w w:val="100"/>
          <w:position w:val="0"/>
          <w:shd w:val="clear" w:color="auto" w:fill="auto"/>
          <w:lang w:val="en-US" w:eastAsia="en-US" w:bidi="en-US"/>
        </w:rPr>
        <w:t xml:space="preserve"> Introd., xlii. </w:t>
      </w:r>
      <w:r>
        <w:rPr>
          <w:i/>
          <w:iCs/>
          <w:spacing w:val="0"/>
          <w:w w:val="100"/>
          <w:position w:val="0"/>
          <w:shd w:val="clear" w:color="auto" w:fill="auto"/>
          <w:lang w:val="en-US" w:eastAsia="en-US" w:bidi="en-US"/>
        </w:rPr>
        <w:t>sq.</w:t>
      </w:r>
    </w:p>
    <w:p>
      <w:pPr>
        <w:pStyle w:val="Style5"/>
        <w:keepNext w:val="0"/>
        <w:keepLines w:val="0"/>
        <w:widowControl w:val="0"/>
        <w:shd w:val="clear" w:color="auto" w:fill="auto"/>
        <w:tabs>
          <w:tab w:pos="2502" w:val="left"/>
        </w:tabs>
        <w:bidi w:val="0"/>
        <w:spacing w:line="197" w:lineRule="auto"/>
        <w:ind w:left="0" w:firstLine="360"/>
        <w:jc w:val="left"/>
      </w:pPr>
      <w:r>
        <w:rPr>
          <w:spacing w:val="0"/>
          <w:w w:val="100"/>
          <w:position w:val="0"/>
          <w:shd w:val="clear" w:color="auto" w:fill="auto"/>
          <w:lang w:val="en-US" w:eastAsia="en-US" w:bidi="en-US"/>
        </w:rPr>
        <w:t xml:space="preserve">@@@32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81, note 2, 437.</w:t>
        <w:tab/>
      </w:r>
    </w:p>
    <w:p>
      <w:pPr>
        <w:pStyle w:val="Style5"/>
        <w:keepNext w:val="0"/>
        <w:keepLines w:val="0"/>
        <w:widowControl w:val="0"/>
        <w:shd w:val="clear" w:color="auto" w:fill="auto"/>
        <w:tabs>
          <w:tab w:pos="2502" w:val="left"/>
        </w:tabs>
        <w:bidi w:val="0"/>
        <w:spacing w:line="197" w:lineRule="auto"/>
        <w:ind w:left="0" w:firstLine="360"/>
        <w:jc w:val="left"/>
      </w:pPr>
      <w:r>
        <w:rPr>
          <w:spacing w:val="0"/>
          <w:w w:val="100"/>
          <w:position w:val="0"/>
          <w:shd w:val="clear" w:color="auto" w:fill="auto"/>
          <w:lang w:val="en-US" w:eastAsia="en-US" w:bidi="en-US"/>
        </w:rPr>
        <w:t xml:space="preserve">@@@33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iii. 1, 84, note 3.</w:t>
      </w:r>
    </w:p>
    <w:p>
      <w:pPr>
        <w:pStyle w:val="Style5"/>
        <w:keepNext w:val="0"/>
        <w:keepLines w:val="0"/>
        <w:widowControl w:val="0"/>
        <w:shd w:val="clear" w:color="auto" w:fill="auto"/>
        <w:tabs>
          <w:tab w:pos="302" w:val="left"/>
        </w:tabs>
        <w:bidi w:val="0"/>
        <w:spacing w:line="197"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34</w:t>
        <w:tab/>
      </w:r>
      <w:r>
        <w:rPr>
          <w:spacing w:val="0"/>
          <w:w w:val="100"/>
          <w:position w:val="0"/>
          <w:shd w:val="clear" w:color="auto" w:fill="auto"/>
          <w:lang w:val="en-US" w:eastAsia="en-US" w:bidi="en-US"/>
        </w:rPr>
        <w:t>Who was probably, therefore, the immediate predecessor of Gregory (596).</w:t>
      </w:r>
    </w:p>
    <w:p>
      <w:pPr>
        <w:pStyle w:val="Style5"/>
        <w:keepNext w:val="0"/>
        <w:keepLines w:val="0"/>
        <w:widowControl w:val="0"/>
        <w:shd w:val="clear" w:color="auto" w:fill="auto"/>
        <w:tabs>
          <w:tab w:pos="309" w:val="left"/>
        </w:tabs>
        <w:bidi w:val="0"/>
        <w:spacing w:line="197"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35</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83, at the end of the first note. </w:t>
      </w:r>
    </w:p>
    <w:p>
      <w:pPr>
        <w:pStyle w:val="Style5"/>
        <w:keepNext w:val="0"/>
        <w:keepLines w:val="0"/>
        <w:widowControl w:val="0"/>
        <w:shd w:val="clear" w:color="auto" w:fill="auto"/>
        <w:tabs>
          <w:tab w:pos="309" w:val="left"/>
        </w:tabs>
        <w:bidi w:val="0"/>
        <w:spacing w:line="197"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sβ</w:t>
      </w:r>
      <w:r>
        <w:rPr>
          <w:i/>
          <w:iCs/>
          <w:spacing w:val="0"/>
          <w:w w:val="100"/>
          <w:position w:val="0"/>
          <w:shd w:val="clear" w:color="auto" w:fill="auto"/>
          <w:lang w:val="en-US" w:eastAsia="en-US" w:bidi="en-US"/>
        </w:rPr>
        <w:t xml:space="preserve"> Ibid.,</w:t>
      </w:r>
      <w:r>
        <w:rPr>
          <w:spacing w:val="0"/>
          <w:w w:val="100"/>
          <w:position w:val="0"/>
          <w:shd w:val="clear" w:color="auto" w:fill="auto"/>
          <w:lang w:val="en-US" w:eastAsia="en-US" w:bidi="en-US"/>
        </w:rPr>
        <w:t xml:space="preserve"> ii. 413 ; iii. 1, 435.</w:t>
      </w:r>
    </w:p>
    <w:p>
      <w:pPr>
        <w:pStyle w:val="Style5"/>
        <w:keepNext w:val="0"/>
        <w:keepLines w:val="0"/>
        <w:widowControl w:val="0"/>
        <w:shd w:val="clear" w:color="auto" w:fill="auto"/>
        <w:tabs>
          <w:tab w:pos="306" w:val="left"/>
        </w:tabs>
        <w:bidi w:val="0"/>
        <w:spacing w:line="197"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37</w:t>
        <w:tab/>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 415, iii. 1, 108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105, note 3.</w:t>
      </w:r>
    </w:p>
    <w:p>
      <w:pPr>
        <w:pStyle w:val="Style5"/>
        <w:keepNext w:val="0"/>
        <w:keepLines w:val="0"/>
        <w:widowControl w:val="0"/>
        <w:shd w:val="clear" w:color="auto" w:fill="auto"/>
        <w:tabs>
          <w:tab w:pos="306" w:val="left"/>
        </w:tabs>
        <w:bidi w:val="0"/>
        <w:spacing w:line="197"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38</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415 ; iii. 1, 82, 441.</w:t>
      </w:r>
    </w:p>
    <w:p>
      <w:pPr>
        <w:pStyle w:val="Style5"/>
        <w:keepNext w:val="0"/>
        <w:keepLines w:val="0"/>
        <w:widowControl w:val="0"/>
        <w:shd w:val="clear" w:color="auto" w:fill="auto"/>
        <w:tabs>
          <w:tab w:pos="302" w:val="left"/>
        </w:tabs>
        <w:bidi w:val="0"/>
        <w:spacing w:line="197"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39</w:t>
        <w:tab/>
      </w:r>
      <w:r>
        <w:rPr>
          <w:spacing w:val="0"/>
          <w:w w:val="100"/>
          <w:position w:val="0"/>
          <w:shd w:val="clear" w:color="auto" w:fill="auto"/>
          <w:lang w:val="en-US" w:eastAsia="en-US" w:bidi="en-US"/>
        </w:rPr>
        <w:t xml:space="preserve">Not </w:t>
      </w:r>
      <w:r>
        <w:rPr>
          <w:i/>
          <w:iCs/>
          <w:spacing w:val="0"/>
          <w:w w:val="100"/>
          <w:position w:val="0"/>
          <w:shd w:val="clear" w:color="auto" w:fill="auto"/>
          <w:lang w:val="en-US" w:eastAsia="en-US" w:bidi="en-US"/>
        </w:rPr>
        <w:t>aromatarius,</w:t>
      </w:r>
      <w:r>
        <w:rPr>
          <w:spacing w:val="0"/>
          <w:w w:val="100"/>
          <w:position w:val="0"/>
          <w:shd w:val="clear" w:color="auto" w:fill="auto"/>
          <w:lang w:val="en-US" w:eastAsia="en-US" w:bidi="en-US"/>
        </w:rPr>
        <w:t xml:space="preserve"> as Assemani translates </w:t>
      </w:r>
      <w:r>
        <w:rPr>
          <w:i/>
          <w:iCs/>
          <w:spacing w:val="0"/>
          <w:w w:val="100"/>
          <w:position w:val="0"/>
          <w:shd w:val="clear" w:color="auto" w:fill="auto"/>
          <w:lang w:val="de-DE" w:eastAsia="de-DE" w:bidi="de-DE"/>
        </w:rPr>
        <w:t>Besmāyā.</w:t>
      </w:r>
    </w:p>
    <w:p>
      <w:pPr>
        <w:pStyle w:val="Style5"/>
        <w:keepNext w:val="0"/>
        <w:keepLines w:val="0"/>
        <w:widowControl w:val="0"/>
        <w:shd w:val="clear" w:color="auto" w:fill="auto"/>
        <w:tabs>
          <w:tab w:pos="266" w:val="left"/>
        </w:tabs>
        <w:bidi w:val="0"/>
        <w:spacing w:line="233" w:lineRule="auto"/>
        <w:ind w:left="0" w:firstLine="360"/>
        <w:jc w:val="left"/>
      </w:pPr>
      <w:r>
        <w:rPr>
          <w:spacing w:val="0"/>
          <w:w w:val="100"/>
          <w:position w:val="0"/>
          <w:shd w:val="clear" w:color="auto" w:fill="auto"/>
          <w:lang w:val="en-US" w:eastAsia="en-US" w:bidi="en-US"/>
        </w:rPr>
        <w:t>@@@40</w:t>
        <w:tab/>
        <w:t xml:space="preserve">R.O.,ii. 416; iii. 1,449. We need not believe the statements of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107.</w:t>
      </w:r>
    </w:p>
    <w:p>
      <w:pPr>
        <w:pStyle w:val="Style5"/>
        <w:keepNext w:val="0"/>
        <w:keepLines w:val="0"/>
        <w:widowControl w:val="0"/>
        <w:shd w:val="clear" w:color="auto" w:fill="auto"/>
        <w:tabs>
          <w:tab w:pos="274" w:val="left"/>
        </w:tabs>
        <w:bidi w:val="0"/>
        <w:spacing w:line="192" w:lineRule="auto"/>
        <w:ind w:left="0" w:firstLine="360"/>
        <w:jc w:val="left"/>
      </w:pPr>
      <w:r>
        <w:rPr>
          <w:spacing w:val="0"/>
          <w:w w:val="100"/>
          <w:position w:val="0"/>
          <w:shd w:val="clear" w:color="auto" w:fill="auto"/>
          <w:lang w:val="en-US" w:eastAsia="en-US" w:bidi="en-US"/>
        </w:rPr>
        <w:t>@@@41</w:t>
        <w:tab/>
        <w:t xml:space="preserve">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404-406, 416, 472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109 ; </w:t>
      </w:r>
      <w:r>
        <w:rPr>
          <w:spacing w:val="0"/>
          <w:w w:val="100"/>
          <w:position w:val="0"/>
          <w:shd w:val="clear" w:color="auto" w:fill="auto"/>
          <w:lang w:val="de-DE" w:eastAsia="de-DE" w:bidi="de-DE"/>
        </w:rPr>
        <w:t xml:space="preserve">Nōldeke </w:t>
      </w:r>
      <w:r>
        <w:rPr>
          <w:i/>
          <w:iCs/>
          <w:spacing w:val="0"/>
          <w:w w:val="100"/>
          <w:position w:val="0"/>
          <w:shd w:val="clear" w:color="auto" w:fill="auto"/>
          <w:lang w:val="en-US" w:eastAsia="en-US" w:bidi="en-US"/>
        </w:rPr>
        <w:t xml:space="preserve">Gesch. d. </w:t>
      </w:r>
      <w:r>
        <w:rPr>
          <w:i/>
          <w:iCs/>
          <w:spacing w:val="0"/>
          <w:w w:val="100"/>
          <w:position w:val="0"/>
          <w:shd w:val="clear" w:color="auto" w:fill="auto"/>
          <w:lang w:val="de-DE" w:eastAsia="de-DE" w:bidi="de-DE"/>
        </w:rPr>
        <w:t xml:space="preserve">Perser </w:t>
      </w:r>
      <w:r>
        <w:rPr>
          <w:i/>
          <w:iCs/>
          <w:spacing w:val="0"/>
          <w:w w:val="100"/>
          <w:position w:val="0"/>
          <w:shd w:val="clear" w:color="auto" w:fill="auto"/>
          <w:lang w:val="en-US" w:eastAsia="en-US" w:bidi="en-US"/>
        </w:rPr>
        <w:t xml:space="preserve">u. </w:t>
      </w:r>
      <w:r>
        <w:rPr>
          <w:i/>
          <w:iCs/>
          <w:spacing w:val="0"/>
          <w:w w:val="100"/>
          <w:position w:val="0"/>
          <w:shd w:val="clear" w:color="auto" w:fill="auto"/>
          <w:lang w:val="de-DE" w:eastAsia="de-DE" w:bidi="de-DE"/>
        </w:rPr>
        <w:t>Araber,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 358, in the note ;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pp. 118-121</w:t>
      </w:r>
    </w:p>
    <w:p>
      <w:pPr>
        <w:pStyle w:val="Style5"/>
        <w:keepNext w:val="0"/>
        <w:keepLines w:val="0"/>
        <w:widowControl w:val="0"/>
        <w:shd w:val="clear" w:color="auto" w:fill="auto"/>
        <w:tabs>
          <w:tab w:pos="298" w:val="left"/>
          <w:tab w:pos="2314" w:val="left"/>
        </w:tabs>
        <w:bidi w:val="0"/>
        <w:spacing w:line="192" w:lineRule="auto"/>
        <w:ind w:left="0" w:firstLine="360"/>
        <w:jc w:val="left"/>
      </w:pPr>
      <w:r>
        <w:rPr>
          <w:spacing w:val="0"/>
          <w:w w:val="100"/>
          <w:position w:val="0"/>
          <w:shd w:val="clear" w:color="auto" w:fill="auto"/>
          <w:lang w:val="en-US" w:eastAsia="en-US" w:bidi="en-US"/>
        </w:rPr>
        <w:t>@@@42</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452.</w:t>
        <w:tab/>
      </w:r>
    </w:p>
    <w:p>
      <w:pPr>
        <w:pStyle w:val="Style5"/>
        <w:keepNext w:val="0"/>
        <w:keepLines w:val="0"/>
        <w:widowControl w:val="0"/>
        <w:shd w:val="clear" w:color="auto" w:fill="auto"/>
        <w:tabs>
          <w:tab w:pos="298" w:val="left"/>
          <w:tab w:pos="2314" w:val="left"/>
        </w:tabs>
        <w:bidi w:val="0"/>
        <w:spacing w:line="192"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43</w:t>
      </w:r>
      <w:r>
        <w:rPr>
          <w:spacing w:val="0"/>
          <w:w w:val="100"/>
          <w:position w:val="0"/>
          <w:shd w:val="clear" w:color="auto" w:fill="auto"/>
          <w:lang w:val="en-US" w:eastAsia="en-US" w:bidi="en-US"/>
        </w:rPr>
        <w:t xml:space="preserve"> 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471.</w:t>
      </w:r>
    </w:p>
    <w:p>
      <w:pPr>
        <w:pStyle w:val="Style5"/>
        <w:keepNext w:val="0"/>
        <w:keepLines w:val="0"/>
        <w:widowControl w:val="0"/>
        <w:shd w:val="clear" w:color="auto" w:fill="auto"/>
        <w:tabs>
          <w:tab w:pos="3265" w:val="left"/>
        </w:tabs>
        <w:bidi w:val="0"/>
        <w:spacing w:line="192"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44 </w:t>
      </w:r>
      <w:r>
        <w:rPr>
          <w:spacing w:val="0"/>
          <w:w w:val="100"/>
          <w:position w:val="0"/>
          <w:shd w:val="clear" w:color="auto" w:fill="auto"/>
          <w:lang w:val="en-US" w:eastAsia="en-US" w:bidi="en-US"/>
        </w:rPr>
        <w:t xml:space="preserve">See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pp. 115-121 ; </w:t>
      </w:r>
      <w:r>
        <w:rPr>
          <w:spacing w:val="0"/>
          <w:w w:val="100"/>
          <w:position w:val="0"/>
          <w:shd w:val="clear" w:color="auto" w:fill="auto"/>
          <w:lang w:val="de-DE" w:eastAsia="de-DE" w:bidi="de-DE"/>
        </w:rPr>
        <w:t xml:space="preserve">Nōldeke, </w:t>
      </w:r>
      <w:r>
        <w:rPr>
          <w:i/>
          <w:iCs/>
          <w:spacing w:val="0"/>
          <w:w w:val="100"/>
          <w:position w:val="0"/>
          <w:shd w:val="clear" w:color="auto" w:fill="auto"/>
          <w:lang w:val="en-US" w:eastAsia="en-US" w:bidi="en-US"/>
        </w:rPr>
        <w:t xml:space="preserve">Gesch. d. </w:t>
      </w:r>
      <w:r>
        <w:rPr>
          <w:i/>
          <w:iCs/>
          <w:spacing w:val="0"/>
          <w:w w:val="100"/>
          <w:position w:val="0"/>
          <w:shd w:val="clear" w:color="auto" w:fill="auto"/>
          <w:lang w:val="de-DE" w:eastAsia="de-DE" w:bidi="de-DE"/>
        </w:rPr>
        <w:t xml:space="preserve">Perser </w:t>
      </w:r>
      <w:r>
        <w:rPr>
          <w:i/>
          <w:iCs/>
          <w:spacing w:val="0"/>
          <w:w w:val="100"/>
          <w:position w:val="0"/>
          <w:shd w:val="clear" w:color="auto" w:fill="auto"/>
          <w:lang w:val="en-US" w:eastAsia="en-US" w:bidi="en-US"/>
        </w:rPr>
        <w:t xml:space="preserve">u. Amber </w:t>
      </w:r>
      <w:r>
        <w:rPr>
          <w:spacing w:val="0"/>
          <w:w w:val="100"/>
          <w:position w:val="0"/>
          <w:shd w:val="clear" w:color="auto" w:fill="auto"/>
          <w:lang w:val="en-US" w:eastAsia="en-US" w:bidi="en-US"/>
        </w:rPr>
        <w:t xml:space="preserve">p. 383. To Yazdin is ascribed a hymn which appears in Nestorian Psalters,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135 ; </w:t>
      </w:r>
      <w:r>
        <w:rPr>
          <w:spacing w:val="0"/>
          <w:w w:val="100"/>
          <w:position w:val="0"/>
          <w:shd w:val="clear" w:color="auto" w:fill="auto"/>
          <w:lang w:val="de-DE" w:eastAsia="de-DE" w:bidi="de-DE"/>
        </w:rPr>
        <w:t xml:space="preserve">Zotenberg,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9.</w:t>
        <w:tab/>
      </w:r>
    </w:p>
    <w:p>
      <w:pPr>
        <w:pStyle w:val="Style5"/>
        <w:keepNext w:val="0"/>
        <w:keepLines w:val="0"/>
        <w:widowControl w:val="0"/>
        <w:shd w:val="clear" w:color="auto" w:fill="auto"/>
        <w:tabs>
          <w:tab w:pos="3405" w:val="left"/>
        </w:tabs>
        <w:bidi w:val="0"/>
        <w:spacing w:line="192" w:lineRule="auto"/>
        <w:ind w:left="0" w:firstLine="360"/>
        <w:jc w:val="left"/>
      </w:pPr>
      <w:r>
        <w:rPr>
          <w:spacing w:val="0"/>
          <w:w w:val="100"/>
          <w:position w:val="0"/>
          <w:shd w:val="clear" w:color="auto" w:fill="auto"/>
          <w:lang w:val="en-US" w:eastAsia="en-US" w:bidi="en-US"/>
        </w:rPr>
        <w:t xml:space="preserve">@@@45 </w:t>
      </w:r>
      <w:r>
        <w:rPr>
          <w:rFonts w:ascii="Arial" w:eastAsia="Arial" w:hAnsi="Arial" w:cs="Arial"/>
          <w:i/>
          <w:iCs/>
          <w:spacing w:val="0"/>
          <w:w w:val="100"/>
          <w:position w:val="0"/>
          <w:sz w:val="14"/>
          <w:szCs w:val="14"/>
          <w:shd w:val="clear" w:color="auto" w:fill="auto"/>
          <w:lang w:val="en-US" w:eastAsia="en-US" w:bidi="en-US"/>
        </w:rPr>
        <w:t>B.O.,</w:t>
      </w:r>
      <w:r>
        <w:rPr>
          <w:spacing w:val="0"/>
          <w:w w:val="100"/>
          <w:position w:val="0"/>
          <w:shd w:val="clear" w:color="auto" w:fill="auto"/>
          <w:lang w:val="en-US" w:eastAsia="en-US" w:bidi="en-US"/>
        </w:rPr>
        <w:t xml:space="preserve"> iii. 1, 83-84.</w:t>
      </w:r>
    </w:p>
    <w:p>
      <w:pPr>
        <w:widowControl w:val="0"/>
        <w:spacing w:line="1" w:lineRule="exact"/>
      </w:pPr>
    </w:p>
    <w:sectPr>
      <w:footnotePr>
        <w:pos w:val="pageBottom"/>
        <w:numFmt w:val="decimal"/>
        <w:numRestart w:val="continuous"/>
      </w:footnotePr>
      <w:type w:val="continuous"/>
      <w:pgSz w:w="12240" w:h="16840"/>
      <w:pgMar w:top="1291" w:left="1593" w:right="1319" w:bottom="12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5">
    <w:name w:val="Body text (5)"/>
    <w:basedOn w:val="Normal"/>
    <w:link w:val="CharStyle6"/>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