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i/>
          <w:iCs/>
          <w:spacing w:val="0"/>
          <w:w w:val="100"/>
          <w:position w:val="0"/>
          <w:shd w:val="clear" w:color="auto" w:fill="auto"/>
          <w:lang w:val="de-DE" w:eastAsia="de-DE" w:bidi="de-DE"/>
        </w:rPr>
        <w:t>Isagōge,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which is found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14660.@@</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At the request of Matthew, bishop of Aleppo, and Daniel, bishop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he undertook in 669 a translation of select epistles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of Antioch, and of these the sixth book survives in two MSS.@@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He also busied himself with Gregory Nazianzen, as is evidenced by a scholion introductory to the homilies@@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the version of the </w:t>
      </w:r>
      <w:r>
        <w:rPr>
          <w:i/>
          <w:iCs/>
          <w:spacing w:val="0"/>
          <w:w w:val="100"/>
          <w:position w:val="0"/>
          <w:shd w:val="clear" w:color="auto" w:fill="auto"/>
          <w:lang w:val="en-US" w:eastAsia="en-US" w:bidi="en-US"/>
        </w:rPr>
        <w:t xml:space="preserve">fivvayoiyp κai eζτgyησLS </w:t>
      </w:r>
      <w:r>
        <w:rPr>
          <w:i/>
          <w:iCs/>
          <w:spacing w:val="0"/>
          <w:w w:val="100"/>
          <w:position w:val="0"/>
          <w:shd w:val="clear" w:color="auto" w:fill="auto"/>
          <w:lang w:val="el-GR" w:eastAsia="el-GR" w:bidi="el-GR"/>
        </w:rPr>
        <w:t>Ιστοριών</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The only other writings of his with which we are acquainted are an encyclical letter, prohibiting Christians from partaking of the sacrifices of their Muhammadan rulers,@@</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and a couple of </w:t>
      </w:r>
      <w:r>
        <w:rPr>
          <w:spacing w:val="0"/>
          <w:w w:val="100"/>
          <w:position w:val="0"/>
          <w:shd w:val="clear" w:color="auto" w:fill="auto"/>
          <w:lang w:val="fr-FR" w:eastAsia="fr-FR" w:bidi="fr-FR"/>
        </w:rPr>
        <w:t>sedrās.</w:t>
      </w:r>
      <w:r>
        <w:rPr>
          <w:spacing w:val="0"/>
          <w:w w:val="100"/>
          <w:position w:val="0"/>
          <w:shd w:val="clear" w:color="auto" w:fill="auto"/>
          <w:lang w:val="en-US" w:eastAsia="en-US" w:bidi="en-US"/>
        </w:rPr>
        <w:t>@@</w:t>
      </w:r>
      <w:r>
        <w:rPr>
          <w:spacing w:val="0"/>
          <w:w w:val="100"/>
          <w:position w:val="0"/>
          <w:shd w:val="clear" w:color="auto" w:fill="auto"/>
          <w:lang w:val="fr-FR" w:eastAsia="fr-FR" w:bidi="fr-FR"/>
        </w:rPr>
        <w:t>®</w:t>
      </w:r>
    </w:p>
    <w:p>
      <w:pPr>
        <w:pStyle w:val="Style2"/>
        <w:keepNext w:val="0"/>
        <w:keepLines w:val="0"/>
        <w:widowControl w:val="0"/>
        <w:shd w:val="clear" w:color="auto" w:fill="auto"/>
        <w:tabs>
          <w:tab w:pos="2977" w:val="left"/>
        </w:tabs>
        <w:bidi w:val="0"/>
        <w:spacing w:line="206" w:lineRule="auto"/>
        <w:ind w:left="0" w:firstLine="360"/>
        <w:jc w:val="left"/>
      </w:pPr>
      <w:r>
        <w:rPr>
          <w:spacing w:val="0"/>
          <w:w w:val="100"/>
          <w:position w:val="0"/>
          <w:shd w:val="clear" w:color="auto" w:fill="auto"/>
          <w:lang w:val="en-US" w:eastAsia="en-US" w:bidi="en-US"/>
        </w:rPr>
        <w:t>Contemporary with him, and probably an alumnus of the same school, was the translator of the poems of Gregory Nazianzen, in the year 655, whom Assemani calls Senorinus Chididatus of Ā</w:t>
      </w:r>
      <w:r>
        <w:rPr>
          <w:spacing w:val="0"/>
          <w:w w:val="100"/>
          <w:position w:val="0"/>
          <w:shd w:val="clear" w:color="auto" w:fill="auto"/>
          <w:lang w:val="fr-FR" w:eastAsia="fr-FR" w:bidi="fr-FR"/>
        </w:rPr>
        <w:t>mid</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 xml:space="preserve">7 </w:t>
      </w:r>
      <w:r>
        <w:rPr>
          <w:spacing w:val="0"/>
          <w:w w:val="100"/>
          <w:position w:val="0"/>
          <w:shd w:val="clear" w:color="auto" w:fill="auto"/>
          <w:lang w:val="en-US" w:eastAsia="en-US" w:bidi="en-US"/>
        </w:rPr>
        <w:t>He has, however, misread the name. In the MS., as Professor Guidi informs us, it stands, not.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The former part of the name seems to be Ιαroυαptos ; the latter is apparently (as Guidi suggests) </w:t>
      </w:r>
      <w:r>
        <w:rPr>
          <w:spacing w:val="0"/>
          <w:w w:val="100"/>
          <w:position w:val="0"/>
          <w:shd w:val="clear" w:color="auto" w:fill="auto"/>
          <w:lang w:val="fr-FR" w:eastAsia="fr-FR" w:bidi="fr-FR"/>
        </w:rPr>
        <w:t xml:space="preserve">a corruption </w:t>
      </w:r>
      <w:r>
        <w:rPr>
          <w:spacing w:val="0"/>
          <w:w w:val="100"/>
          <w:position w:val="0"/>
          <w:shd w:val="clear" w:color="auto" w:fill="auto"/>
          <w:lang w:val="en-US" w:eastAsia="en-US" w:bidi="en-US"/>
        </w:rPr>
        <w:t xml:space="preserve">of Kαrōiōαros. Whether the poems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18821 and 14547@@</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belong to the trans</w:t>
        <w:softHyphen/>
        <w:t xml:space="preserve">lation of </w:t>
      </w:r>
      <w:r>
        <w:rPr>
          <w:spacing w:val="0"/>
          <w:w w:val="100"/>
          <w:position w:val="0"/>
          <w:shd w:val="clear" w:color="auto" w:fill="auto"/>
          <w:lang w:val="la-001" w:eastAsia="la-001" w:bidi="la-001"/>
        </w:rPr>
        <w:t xml:space="preserve">Januarius Candidatus </w:t>
      </w:r>
      <w:r>
        <w:rPr>
          <w:spacing w:val="0"/>
          <w:w w:val="100"/>
          <w:position w:val="0"/>
          <w:shd w:val="clear" w:color="auto" w:fill="auto"/>
          <w:lang w:val="en-US" w:eastAsia="en-US" w:bidi="en-US"/>
        </w:rPr>
        <w:t>or not, we cannotatpresent determine.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Another scholar of note at this time is George, bishop of the Arab tribes, the pupil and friend of Athanasius II. and Jacob.@@</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He was ordained, it would seem, in 687 or 688, two mouths after the death of Athanasius, and is said to have died in the first year of Athanasius III., who was consecrated in April 724. His diocese comprised the </w:t>
      </w:r>
      <w:r>
        <w:rPr>
          <w:spacing w:val="0"/>
          <w:w w:val="100"/>
          <w:position w:val="0"/>
          <w:shd w:val="clear" w:color="auto" w:fill="auto"/>
          <w:lang w:val="fr-FR" w:eastAsia="fr-FR" w:bidi="fr-FR"/>
        </w:rPr>
        <w:t xml:space="preserve">'Akōlāyē </w:t>
      </w:r>
      <w:r>
        <w:rPr>
          <w:spacing w:val="0"/>
          <w:w w:val="100"/>
          <w:position w:val="0"/>
          <w:shd w:val="clear" w:color="auto" w:fill="auto"/>
          <w:lang w:val="en-US" w:eastAsia="en-US" w:bidi="en-US"/>
        </w:rPr>
        <w:t xml:space="preserve">or Arabs of </w:t>
      </w:r>
      <w:r>
        <w:rPr>
          <w:spacing w:val="0"/>
          <w:w w:val="100"/>
          <w:position w:val="0"/>
          <w:shd w:val="clear" w:color="auto" w:fill="auto"/>
          <w:lang w:val="de-DE" w:eastAsia="de-DE" w:bidi="de-DE"/>
        </w:rPr>
        <w:t xml:space="preserve">'ākōlā (al-Kūfah),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Tū'āyē </w:t>
      </w:r>
      <w:r>
        <w:rPr>
          <w:spacing w:val="0"/>
          <w:w w:val="100"/>
          <w:position w:val="0"/>
          <w:shd w:val="clear" w:color="auto" w:fill="auto"/>
          <w:lang w:val="en-US" w:eastAsia="en-US" w:bidi="en-US"/>
        </w:rPr>
        <w:t xml:space="preserve">(?), the </w:t>
      </w:r>
      <w:r>
        <w:rPr>
          <w:spacing w:val="0"/>
          <w:w w:val="100"/>
          <w:position w:val="0"/>
          <w:shd w:val="clear" w:color="auto" w:fill="auto"/>
          <w:lang w:val="fr-FR" w:eastAsia="fr-FR" w:bidi="fr-FR"/>
        </w:rPr>
        <w:t xml:space="preserve">Tanūkh, </w:t>
      </w:r>
      <w:r>
        <w:rPr>
          <w:spacing w:val="0"/>
          <w:w w:val="100"/>
          <w:position w:val="0"/>
          <w:shd w:val="clear" w:color="auto" w:fill="auto"/>
          <w:lang w:val="en-US" w:eastAsia="en-US" w:bidi="en-US"/>
        </w:rPr>
        <w:t xml:space="preserve">the Tha'labites, the Taghlibites, and in general the nomad Arabs of Mesopotamia. Of his works the most important is his translation of the </w:t>
      </w:r>
      <w:r>
        <w:rPr>
          <w:i/>
          <w:iCs/>
          <w:spacing w:val="0"/>
          <w:w w:val="100"/>
          <w:position w:val="0"/>
          <w:shd w:val="clear" w:color="auto" w:fill="auto"/>
          <w:lang w:val="en-US" w:eastAsia="en-US" w:bidi="en-US"/>
        </w:rPr>
        <w:t>Organon</w:t>
      </w:r>
      <w:r>
        <w:rPr>
          <w:spacing w:val="0"/>
          <w:w w:val="100"/>
          <w:position w:val="0"/>
          <w:shd w:val="clear" w:color="auto" w:fill="auto"/>
          <w:lang w:val="en-US" w:eastAsia="en-US" w:bidi="en-US"/>
        </w:rPr>
        <w:t xml:space="preserve"> of Aristotle, of which there is a volume in the British Museum, Add. 14659,comprising, in its imperfect condition, the </w:t>
      </w:r>
      <w:r>
        <w:rPr>
          <w:i/>
          <w:iCs/>
          <w:spacing w:val="0"/>
          <w:w w:val="100"/>
          <w:position w:val="0"/>
          <w:shd w:val="clear" w:color="auto" w:fill="auto"/>
          <w:lang w:val="en-US" w:eastAsia="en-US" w:bidi="en-US"/>
        </w:rPr>
        <w:t>Cate</w:t>
        <w:softHyphen/>
        <w:t>gories,</w:t>
      </w:r>
      <w:r>
        <w:rPr>
          <w:spacing w:val="0"/>
          <w:w w:val="100"/>
          <w:position w:val="0"/>
          <w:shd w:val="clear" w:color="auto" w:fill="auto"/>
          <w:lang w:val="en-US" w:eastAsia="en-US" w:bidi="en-US"/>
        </w:rPr>
        <w:t xml:space="preserve"> ∏epl </w:t>
      </w:r>
      <w:r>
        <w:rPr>
          <w:i/>
          <w:iCs/>
          <w:spacing w:val="0"/>
          <w:w w:val="100"/>
          <w:position w:val="0"/>
          <w:shd w:val="clear" w:color="auto" w:fill="auto"/>
          <w:lang w:val="en-US" w:eastAsia="en-US" w:bidi="en-US"/>
        </w:rPr>
        <w:t>eρμηveιas,</w:t>
      </w:r>
      <w:r>
        <w:rPr>
          <w:spacing w:val="0"/>
          <w:w w:val="100"/>
          <w:position w:val="0"/>
          <w:shd w:val="clear" w:color="auto" w:fill="auto"/>
          <w:lang w:val="en-US" w:eastAsia="en-US" w:bidi="en-US"/>
        </w:rPr>
        <w:t xml:space="preserve"> and the first book of the </w:t>
      </w:r>
      <w:r>
        <w:rPr>
          <w:i/>
          <w:iCs/>
          <w:spacing w:val="0"/>
          <w:w w:val="100"/>
          <w:position w:val="0"/>
          <w:shd w:val="clear" w:color="auto" w:fill="auto"/>
          <w:lang w:val="en-US" w:eastAsia="en-US" w:bidi="en-US"/>
        </w:rPr>
        <w:t>Analytics,</w:t>
      </w:r>
      <w:r>
        <w:rPr>
          <w:spacing w:val="0"/>
          <w:w w:val="100"/>
          <w:position w:val="0"/>
          <w:shd w:val="clear" w:color="auto" w:fill="auto"/>
          <w:lang w:val="en-US" w:eastAsia="en-US" w:bidi="en-US"/>
        </w:rPr>
        <w:t xml:space="preserve"> divided into two parts, with introductions and commentaries.@@</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Of this ver</w:t>
        <w:softHyphen/>
        <w:t xml:space="preserve">sion a specimen has been edited by Hoffmann,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Hermeneuticis,</w:t>
      </w:r>
      <w:r>
        <w:rPr>
          <w:spacing w:val="0"/>
          <w:w w:val="100"/>
          <w:position w:val="0"/>
          <w:shd w:val="clear" w:color="auto" w:fill="auto"/>
          <w:lang w:val="en-US" w:eastAsia="en-US" w:bidi="en-US"/>
        </w:rPr>
        <w:t xml:space="preserve"> &amp;c., p. 22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besides small fragments at pp. 30, 38, 45, and 53. He also compiled a large collection of scholia on the homilies of Gregory Nazianzen, which exhibits a wide range of reading,@@</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and completed the </w:t>
      </w:r>
      <w:r>
        <w:rPr>
          <w:i/>
          <w:iCs/>
          <w:spacing w:val="0"/>
          <w:w w:val="100"/>
          <w:position w:val="0"/>
          <w:shd w:val="clear" w:color="auto" w:fill="auto"/>
          <w:lang w:val="la-001" w:eastAsia="la-001" w:bidi="la-001"/>
        </w:rPr>
        <w:t>Hexaemeron</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Jacob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(see above, p. 839).@@</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His other writings are—a commentary, or more likely scholia, on the Scriptures, cited in the </w:t>
      </w:r>
      <w:r>
        <w:rPr>
          <w:i/>
          <w:iCs/>
          <w:spacing w:val="0"/>
          <w:w w:val="100"/>
          <w:position w:val="0"/>
          <w:shd w:val="clear" w:color="auto" w:fill="auto"/>
          <w:lang w:val="en-US" w:eastAsia="en-US" w:bidi="en-US"/>
        </w:rPr>
        <w:t>Catena</w:t>
      </w:r>
      <w:r>
        <w:rPr>
          <w:spacing w:val="0"/>
          <w:w w:val="100"/>
          <w:position w:val="0"/>
          <w:shd w:val="clear" w:color="auto" w:fill="auto"/>
          <w:lang w:val="en-US" w:eastAsia="en-US" w:bidi="en-US"/>
        </w:rPr>
        <w:t xml:space="preserve">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and by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in his </w:t>
      </w:r>
      <w:r>
        <w:rPr>
          <w:i/>
          <w:iCs/>
          <w:spacing w:val="0"/>
          <w:w w:val="100"/>
          <w:position w:val="0"/>
          <w:shd w:val="clear" w:color="auto" w:fill="auto"/>
          <w:lang w:val="en-US" w:eastAsia="en-US" w:bidi="en-US"/>
        </w:rPr>
        <w:t>Aι&lt;sar Raze</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 a short commentary on the sacraments of the church, treat</w:t>
        <w:softHyphen/>
        <w:t>ing of baptism, the holy Eucharist, and the consecration of the chrism@@</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a homily in twelve-syllable metre on the holy chrism in two shapes@@</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another homily on solitary monks, in heptasyllabic metre@@</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and a treatise on the </w:t>
      </w:r>
      <w:r>
        <w:rPr>
          <w:i/>
          <w:iCs/>
          <w:spacing w:val="0"/>
          <w:w w:val="100"/>
          <w:position w:val="0"/>
          <w:shd w:val="clear" w:color="auto" w:fill="auto"/>
          <w:lang w:val="en-US" w:eastAsia="en-US" w:bidi="en-US"/>
        </w:rPr>
        <w:t>Calendar</w:t>
      </w:r>
      <w:r>
        <w:rPr>
          <w:spacing w:val="0"/>
          <w:w w:val="100"/>
          <w:position w:val="0"/>
          <w:shd w:val="clear" w:color="auto" w:fill="auto"/>
          <w:lang w:val="en-US" w:eastAsia="en-US" w:bidi="en-US"/>
        </w:rPr>
        <w:t xml:space="preserve"> in twelve-syllable metre,@@</w:t>
      </w:r>
      <w:r>
        <w:rPr>
          <w:spacing w:val="0"/>
          <w:w w:val="100"/>
          <w:position w:val="0"/>
          <w:shd w:val="clear" w:color="auto" w:fill="auto"/>
          <w:vertAlign w:val="superscript"/>
          <w:lang w:val="en-US" w:eastAsia="en-US" w:bidi="en-US"/>
        </w:rPr>
        <w:t xml:space="preserve">17 </w:t>
      </w:r>
      <w:r>
        <w:rPr>
          <w:spacing w:val="0"/>
          <w:w w:val="100"/>
          <w:position w:val="0"/>
          <w:shd w:val="clear" w:color="auto" w:fill="auto"/>
          <w:lang w:val="en-US" w:eastAsia="en-US" w:bidi="en-US"/>
        </w:rPr>
        <w:t xml:space="preserve">cited by Elias bar </w:t>
      </w:r>
      <w:r>
        <w:rPr>
          <w:spacing w:val="0"/>
          <w:w w:val="100"/>
          <w:position w:val="0"/>
          <w:shd w:val="clear" w:color="auto" w:fill="auto"/>
          <w:lang w:val="de-DE" w:eastAsia="de-DE" w:bidi="de-DE"/>
        </w:rPr>
        <w:t>Shināyā.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18</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Like Jacob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he carried on an extensive literary correspondence, of which some specimens have luckily been preserved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12154, ff. 222-291, dated from 714 to 718. Several of them are addressed to John the Stylite of Litarba, one of whose letters to Daniel, an Arab priest of the tribe of the </w:t>
      </w:r>
      <w:r>
        <w:rPr>
          <w:spacing w:val="0"/>
          <w:w w:val="100"/>
          <w:position w:val="0"/>
          <w:shd w:val="clear" w:color="auto" w:fill="auto"/>
          <w:lang w:val="fr-FR" w:eastAsia="fr-FR" w:bidi="fr-FR"/>
        </w:rPr>
        <w:t xml:space="preserve">Tū'āyē, </w:t>
      </w:r>
      <w:r>
        <w:rPr>
          <w:spacing w:val="0"/>
          <w:w w:val="100"/>
          <w:position w:val="0"/>
          <w:shd w:val="clear" w:color="auto" w:fill="auto"/>
          <w:lang w:val="en-US" w:eastAsia="en-US" w:bidi="en-US"/>
        </w:rPr>
        <w:t xml:space="preserve">is appended, f. 291. The most important of them is one written to the priest and recluse </w:t>
      </w:r>
      <w:r>
        <w:rPr>
          <w:spacing w:val="0"/>
          <w:w w:val="100"/>
          <w:position w:val="0"/>
          <w:shd w:val="clear" w:color="auto" w:fill="auto"/>
          <w:lang w:val="fr-FR" w:eastAsia="fr-FR" w:bidi="fr-FR"/>
        </w:rPr>
        <w:t xml:space="preserve">Yēshū' </w:t>
      </w:r>
      <w:r>
        <w:rPr>
          <w:spacing w:val="0"/>
          <w:w w:val="100"/>
          <w:position w:val="0"/>
          <w:shd w:val="clear" w:color="auto" w:fill="auto"/>
          <w:lang w:val="en-US" w:eastAsia="en-US" w:bidi="en-US"/>
        </w:rPr>
        <w:t xml:space="preserve">of Innib (near </w:t>
      </w:r>
      <w:r>
        <w:rPr>
          <w:spacing w:val="0"/>
          <w:w w:val="100"/>
          <w:position w:val="0"/>
          <w:shd w:val="clear" w:color="auto" w:fill="auto"/>
          <w:lang w:val="de-DE" w:eastAsia="de-DE" w:bidi="de-DE"/>
        </w:rPr>
        <w:t xml:space="preserve">'Azāz, </w:t>
      </w:r>
      <w:r>
        <w:rPr>
          <w:spacing w:val="0"/>
          <w:w w:val="100"/>
          <w:position w:val="0"/>
          <w:shd w:val="clear" w:color="auto" w:fill="auto"/>
          <w:lang w:val="en-US" w:eastAsia="en-US" w:bidi="en-US"/>
        </w:rPr>
        <w:t>north of Aleppo), part of which relates to Aphraates and his works (see above, p. 827).@@</w:t>
      </w:r>
      <w:r>
        <w:rPr>
          <w:spacing w:val="0"/>
          <w:w w:val="100"/>
          <w:position w:val="0"/>
          <w:shd w:val="clear" w:color="auto" w:fill="auto"/>
          <w:vertAlign w:val="superscript"/>
          <w:lang w:val="en-US" w:eastAsia="en-US" w:bidi="en-US"/>
        </w:rPr>
        <w:t>lθ</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Contemporary with these scholars was Daniel of Salah (a village north-east of </w:t>
      </w:r>
      <w:r>
        <w:rPr>
          <w:spacing w:val="0"/>
          <w:w w:val="100"/>
          <w:position w:val="0"/>
          <w:shd w:val="clear" w:color="auto" w:fill="auto"/>
          <w:lang w:val="de-DE" w:eastAsia="de-DE" w:bidi="de-DE"/>
        </w:rPr>
        <w:t xml:space="preserve">Midyād </w:t>
      </w:r>
      <w:r>
        <w:rPr>
          <w:spacing w:val="0"/>
          <w:w w:val="100"/>
          <w:position w:val="0"/>
          <w:shd w:val="clear" w:color="auto" w:fill="auto"/>
          <w:lang w:val="en-US" w:eastAsia="en-US" w:bidi="en-US"/>
        </w:rPr>
        <w:t>in Tur-Abdin),@@</w:t>
      </w:r>
      <w:r>
        <w:rPr>
          <w:spacing w:val="0"/>
          <w:w w:val="100"/>
          <w:position w:val="0"/>
          <w:shd w:val="clear" w:color="auto" w:fill="auto"/>
          <w:vertAlign w:val="superscript"/>
          <w:lang w:val="en-US" w:eastAsia="en-US" w:bidi="en-US"/>
        </w:rPr>
        <w:t>2θ</w:t>
      </w:r>
      <w:r>
        <w:rPr>
          <w:spacing w:val="0"/>
          <w:w w:val="100"/>
          <w:position w:val="0"/>
          <w:shd w:val="clear" w:color="auto" w:fill="auto"/>
          <w:lang w:val="en-US" w:eastAsia="en-US" w:bidi="en-US"/>
        </w:rPr>
        <w:t xml:space="preserve"> who wrote commentaries on the Psalms and Ecclesiastes.@@</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The former was in three volumes, and was composed at the request of John, abbot of the convent of Eusebius at </w:t>
      </w:r>
      <w:r>
        <w:rPr>
          <w:spacing w:val="0"/>
          <w:w w:val="100"/>
          <w:position w:val="0"/>
          <w:shd w:val="clear" w:color="auto" w:fill="auto"/>
          <w:lang w:val="de-DE" w:eastAsia="de-DE" w:bidi="de-DE"/>
        </w:rPr>
        <w:t xml:space="preserve">Kaphrā </w:t>
      </w:r>
      <w:r>
        <w:rPr>
          <w:spacing w:val="0"/>
          <w:w w:val="100"/>
          <w:position w:val="0"/>
          <w:shd w:val="clear" w:color="auto" w:fill="auto"/>
          <w:lang w:val="fr-FR" w:eastAsia="fr-FR" w:bidi="fr-FR"/>
        </w:rPr>
        <w:t xml:space="preserve">dhē-Bhārthā </w:t>
      </w:r>
      <w:r>
        <w:rPr>
          <w:spacing w:val="0"/>
          <w:w w:val="100"/>
          <w:position w:val="0"/>
          <w:shd w:val="clear" w:color="auto" w:fill="auto"/>
          <w:lang w:val="en-US" w:eastAsia="en-US" w:bidi="en-US"/>
        </w:rPr>
        <w:t xml:space="preserve">(Kafr </w:t>
      </w:r>
      <w:r>
        <w:rPr>
          <w:spacing w:val="0"/>
          <w:w w:val="100"/>
          <w:position w:val="0"/>
          <w:shd w:val="clear" w:color="auto" w:fill="auto"/>
          <w:lang w:val="fr-FR" w:eastAsia="fr-FR" w:bidi="fr-FR"/>
        </w:rPr>
        <w:t xml:space="preserve">al-Bārah, </w:t>
      </w:r>
      <w:r>
        <w:rPr>
          <w:spacing w:val="0"/>
          <w:w w:val="100"/>
          <w:position w:val="0"/>
          <w:shd w:val="clear" w:color="auto" w:fill="auto"/>
          <w:lang w:val="en-US" w:eastAsia="en-US" w:bidi="en-US"/>
        </w:rPr>
        <w:t xml:space="preserve">near </w:t>
      </w:r>
      <w:r>
        <w:rPr>
          <w:spacing w:val="0"/>
          <w:w w:val="100"/>
          <w:position w:val="0"/>
          <w:shd w:val="clear" w:color="auto" w:fill="auto"/>
          <w:lang w:val="la-001" w:eastAsia="la-001" w:bidi="la-001"/>
        </w:rPr>
        <w:t>Apamea).</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22</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There is an abridgement of it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17125, f. 81 </w:t>
      </w:r>
      <w:r>
        <w:rPr>
          <w:i/>
          <w:iCs/>
          <w:spacing w:val="0"/>
          <w:w w:val="100"/>
          <w:position w:val="0"/>
          <w:shd w:val="clear" w:color="auto" w:fill="auto"/>
          <w:lang w:val="en-US" w:eastAsia="en-US" w:bidi="en-US"/>
        </w:rPr>
        <w:t xml:space="preserve">sq. </w:t>
      </w:r>
      <w:r>
        <w:rPr>
          <w:spacing w:val="0"/>
          <w:w w:val="100"/>
          <w:position w:val="0"/>
          <w:shd w:val="clear" w:color="auto" w:fill="auto"/>
          <w:lang w:val="en-US" w:eastAsia="en-US" w:bidi="en-US"/>
        </w:rPr>
        <w:t xml:space="preserve">The commentary on Ecclesiastes is known to us only from the extracts preserved in Severus’s </w:t>
      </w:r>
      <w:r>
        <w:rPr>
          <w:i/>
          <w:iCs/>
          <w:spacing w:val="0"/>
          <w:w w:val="100"/>
          <w:position w:val="0"/>
          <w:shd w:val="clear" w:color="auto" w:fill="auto"/>
          <w:lang w:val="en-US" w:eastAsia="en-US" w:bidi="en-US"/>
        </w:rPr>
        <w:t>Catena.</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Regarding George, bishop of Martyropolis,@@</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we can add little or nothing to the scanty information collected by Assemani.@@</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This scholar has, however, made a mistake in placing him so early as “ circa annum Christi 580.” About a century later would probably be nearer the mark. Two of his pupils were Constantine, bishop of </w:t>
      </w:r>
      <w:r>
        <w:rPr>
          <w:spacing w:val="0"/>
          <w:w w:val="100"/>
          <w:position w:val="0"/>
          <w:shd w:val="clear" w:color="auto" w:fill="auto"/>
          <w:lang w:val="de-DE" w:eastAsia="de-DE" w:bidi="de-DE"/>
        </w:rPr>
        <w:t xml:space="preserve">Harrān, </w:t>
      </w:r>
      <w:r>
        <w:rPr>
          <w:spacing w:val="0"/>
          <w:w w:val="100"/>
          <w:position w:val="0"/>
          <w:shd w:val="clear" w:color="auto" w:fill="auto"/>
          <w:lang w:val="en-US" w:eastAsia="en-US" w:bidi="en-US"/>
        </w:rPr>
        <w:t>who may have flourished during the latter part of the 7th century, and his successor Leo, who lived at the very end of it and the beginning of the 8th.@@</w:t>
      </w:r>
      <w:r>
        <w:rPr>
          <w:spacing w:val="0"/>
          <w:w w:val="100"/>
          <w:position w:val="0"/>
          <w:shd w:val="clear" w:color="auto" w:fill="auto"/>
          <w:vertAlign w:val="superscript"/>
          <w:lang w:val="en-US" w:eastAsia="en-US" w:bidi="en-US"/>
        </w:rPr>
        <w:t>2β</w:t>
      </w:r>
      <w:r>
        <w:rPr>
          <w:spacing w:val="0"/>
          <w:w w:val="100"/>
          <w:position w:val="0"/>
          <w:shd w:val="clear" w:color="auto" w:fill="auto"/>
          <w:lang w:val="en-US" w:eastAsia="en-US" w:bidi="en-US"/>
        </w:rPr>
        <w:t xml:space="preserve"> Constantine wrote several contro</w:t>
        <w:softHyphen/>
        <w:t xml:space="preserve">versial works against the Monophysites, viz.,—an exposition of the creeds of the councils of </w:t>
      </w:r>
      <w:r>
        <w:rPr>
          <w:spacing w:val="0"/>
          <w:w w:val="100"/>
          <w:position w:val="0"/>
          <w:shd w:val="clear" w:color="auto" w:fill="auto"/>
          <w:lang w:val="fr-FR" w:eastAsia="fr-FR" w:bidi="fr-FR"/>
        </w:rPr>
        <w:t xml:space="preserve">Nicæa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Chalcedon, </w:t>
      </w:r>
      <w:r>
        <w:rPr>
          <w:spacing w:val="0"/>
          <w:w w:val="100"/>
          <w:position w:val="0"/>
          <w:shd w:val="clear" w:color="auto" w:fill="auto"/>
          <w:lang w:val="en-US" w:eastAsia="en-US" w:bidi="en-US"/>
        </w:rPr>
        <w:t xml:space="preserve">a treatise against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(of Antioch), an “ anagnōsticon ” concerning an alleged mutilation of the Trisagion,@@</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 xml:space="preserve"> and a reply to a treatise of Simeon (II., Monophysite bishop of </w:t>
      </w:r>
      <w:r>
        <w:rPr>
          <w:spacing w:val="0"/>
          <w:w w:val="100"/>
          <w:position w:val="0"/>
          <w:shd w:val="clear" w:color="auto" w:fill="auto"/>
          <w:lang w:val="de-DE" w:eastAsia="de-DE" w:bidi="de-DE"/>
        </w:rPr>
        <w:t>Harrān).</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28</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Leo’s only literary effort appears to have been a letter to the Jacobite patriarch Elias, whom we have next to notice.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Elias belonged originally to the Dyophysite party in the Syrian Church, but was converted to the Monophysite sect by the study of the writings of </w:t>
      </w:r>
      <w:r>
        <w:rPr>
          <w:spacing w:val="0"/>
          <w:w w:val="100"/>
          <w:position w:val="0"/>
          <w:shd w:val="clear" w:color="auto" w:fill="auto"/>
          <w:lang w:val="de-DE" w:eastAsia="de-DE" w:bidi="de-DE"/>
        </w:rPr>
        <w:t xml:space="preserve">Severus. </w:t>
      </w:r>
      <w:r>
        <w:rPr>
          <w:spacing w:val="0"/>
          <w:w w:val="100"/>
          <w:position w:val="0"/>
          <w:shd w:val="clear" w:color="auto" w:fill="auto"/>
          <w:lang w:val="en-US" w:eastAsia="en-US" w:bidi="en-US"/>
        </w:rPr>
        <w:t xml:space="preserve">He was a monk of the convent of </w:t>
      </w:r>
      <w:r>
        <w:rPr>
          <w:spacing w:val="0"/>
          <w:w w:val="100"/>
          <w:position w:val="0"/>
          <w:shd w:val="clear" w:color="auto" w:fill="auto"/>
          <w:lang w:val="de-DE" w:eastAsia="de-DE" w:bidi="de-DE"/>
        </w:rPr>
        <w:t xml:space="preserve">Gubbā Barrāyā, </w:t>
      </w:r>
      <w:r>
        <w:rPr>
          <w:spacing w:val="0"/>
          <w:w w:val="100"/>
          <w:position w:val="0"/>
          <w:shd w:val="clear" w:color="auto" w:fill="auto"/>
          <w:lang w:val="en-US" w:eastAsia="en-US" w:bidi="en-US"/>
        </w:rPr>
        <w:t xml:space="preserve">and for eighteen years bishop of </w:t>
      </w:r>
      <w:r>
        <w:rPr>
          <w:spacing w:val="0"/>
          <w:w w:val="100"/>
          <w:position w:val="0"/>
          <w:shd w:val="clear" w:color="auto" w:fill="auto"/>
          <w:lang w:val="la-001" w:eastAsia="la-001" w:bidi="la-001"/>
        </w:rPr>
        <w:t xml:space="preserve">Apamea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 xml:space="preserve">Fāmiyah), </w:t>
      </w:r>
      <w:r>
        <w:rPr>
          <w:spacing w:val="0"/>
          <w:w w:val="100"/>
          <w:position w:val="0"/>
          <w:shd w:val="clear" w:color="auto" w:fill="auto"/>
          <w:lang w:val="en-US" w:eastAsia="en-US" w:bidi="en-US"/>
        </w:rPr>
        <w:t>before he was raised to the patriarchate of Antioch (in 709). He died in 724.@@</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The only work of his known to us is an </w:t>
      </w:r>
      <w:r>
        <w:rPr>
          <w:i/>
          <w:iCs/>
          <w:spacing w:val="0"/>
          <w:w w:val="100"/>
          <w:position w:val="0"/>
          <w:shd w:val="clear" w:color="auto" w:fill="auto"/>
          <w:lang w:val="en-US" w:eastAsia="en-US" w:bidi="en-US"/>
        </w:rPr>
        <w:t xml:space="preserve">Apology, </w:t>
      </w:r>
      <w:r>
        <w:rPr>
          <w:spacing w:val="0"/>
          <w:w w:val="100"/>
          <w:position w:val="0"/>
          <w:shd w:val="clear" w:color="auto" w:fill="auto"/>
          <w:lang w:val="en-US" w:eastAsia="en-US" w:bidi="en-US"/>
        </w:rPr>
        <w:t xml:space="preserve">addressed to Leo, bishop of </w:t>
      </w:r>
      <w:r>
        <w:rPr>
          <w:spacing w:val="0"/>
          <w:w w:val="100"/>
          <w:position w:val="0"/>
          <w:shd w:val="clear" w:color="auto" w:fill="auto"/>
          <w:lang w:val="de-DE" w:eastAsia="de-DE" w:bidi="de-DE"/>
        </w:rPr>
        <w:t xml:space="preserve">Harrān, </w:t>
      </w:r>
      <w:r>
        <w:rPr>
          <w:spacing w:val="0"/>
          <w:w w:val="100"/>
          <w:position w:val="0"/>
          <w:shd w:val="clear" w:color="auto" w:fill="auto"/>
          <w:lang w:val="en-US" w:eastAsia="en-US" w:bidi="en-US"/>
        </w:rPr>
        <w:t>in answer to a letter from him asking the reasons for Elias’s change of creed.@@</w:t>
      </w:r>
      <w:r>
        <w:rPr>
          <w:spacing w:val="0"/>
          <w:w w:val="100"/>
          <w:position w:val="0"/>
          <w:shd w:val="clear" w:color="auto" w:fill="auto"/>
          <w:vertAlign w:val="superscript"/>
          <w:lang w:val="en-US" w:eastAsia="en-US" w:bidi="en-US"/>
        </w:rPr>
        <w:t>30</w:t>
      </w:r>
      <w:r>
        <w:rPr>
          <w:spacing w:val="0"/>
          <w:w w:val="100"/>
          <w:position w:val="0"/>
          <w:shd w:val="clear" w:color="auto" w:fill="auto"/>
          <w:lang w:val="en-US" w:eastAsia="en-US" w:bidi="en-US"/>
        </w:rPr>
        <w:t xml:space="preserve"> It was probably written during the time of his episcopate. In it, besides George of Martyropolis and Constantine of </w:t>
      </w:r>
      <w:r>
        <w:rPr>
          <w:spacing w:val="0"/>
          <w:w w:val="100"/>
          <w:position w:val="0"/>
          <w:shd w:val="clear" w:color="auto" w:fill="auto"/>
          <w:lang w:val="de-DE" w:eastAsia="de-DE" w:bidi="de-DE"/>
        </w:rPr>
        <w:t xml:space="preserve">Harrān, </w:t>
      </w:r>
      <w:r>
        <w:rPr>
          <w:spacing w:val="0"/>
          <w:w w:val="100"/>
          <w:position w:val="0"/>
          <w:shd w:val="clear" w:color="auto" w:fill="auto"/>
          <w:lang w:val="en-US" w:eastAsia="en-US" w:bidi="en-US"/>
        </w:rPr>
        <w:t>he cites John of Damascus, among whose Greek works is a tract against the Jacobites, addressed to the bishop Elias in defence of Peter, archbishop of Damascus.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Lazarus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de-DE" w:eastAsia="de-DE" w:bidi="de-DE"/>
        </w:rPr>
        <w:t xml:space="preserve">Kandasā </w:t>
      </w:r>
      <w:r>
        <w:rPr>
          <w:spacing w:val="0"/>
          <w:w w:val="100"/>
          <w:position w:val="0"/>
          <w:shd w:val="clear" w:color="auto" w:fill="auto"/>
          <w:lang w:val="en-US" w:eastAsia="en-US" w:bidi="en-US"/>
        </w:rPr>
        <w:t>is known to us only through his dis</w:t>
        <w:softHyphen/>
        <w:t xml:space="preserve">ciple George of </w:t>
      </w:r>
      <w:r>
        <w:rPr>
          <w:spacing w:val="0"/>
          <w:w w:val="100"/>
          <w:position w:val="0"/>
          <w:shd w:val="clear" w:color="auto" w:fill="auto"/>
          <w:lang w:val="fr-FR" w:eastAsia="fr-FR" w:bidi="fr-FR"/>
        </w:rPr>
        <w:t xml:space="preserve">Bētli Nēkē </w:t>
      </w:r>
      <w:r>
        <w:rPr>
          <w:spacing w:val="0"/>
          <w:w w:val="100"/>
          <w:position w:val="0"/>
          <w:shd w:val="clear" w:color="auto" w:fill="auto"/>
          <w:lang w:val="en-US" w:eastAsia="en-US" w:bidi="en-US"/>
        </w:rPr>
        <w:t>as the compiler of a commentary on the New Testament, of which there are two volumes in the British Museum, the one (Add. 14682) containing the Gospels of St John and St Mark, the other (Add. 14683) the third and fourth parts σf the Pauline epistles from Galatians to Hebrews.@@</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The commentary on the epistles is merely an abridgement of Chrysostom ; in that on the Gospels use is also made of Jacob of </w:t>
      </w:r>
      <w:r>
        <w:rPr>
          <w:spacing w:val="0"/>
          <w:w w:val="100"/>
          <w:position w:val="0"/>
          <w:shd w:val="clear" w:color="auto" w:fill="auto"/>
          <w:lang w:val="de-DE" w:eastAsia="de-DE" w:bidi="de-DE"/>
        </w:rPr>
        <w:t xml:space="preserve">Serūgh, </w:t>
      </w:r>
      <w:r>
        <w:rPr>
          <w:spacing w:val="0"/>
          <w:w w:val="100"/>
          <w:position w:val="0"/>
          <w:shd w:val="clear" w:color="auto" w:fill="auto"/>
          <w:lang w:val="en-US" w:eastAsia="en-US" w:bidi="en-US"/>
        </w:rPr>
        <w:t>and occasionally of Theodore of Mopsuestia,@@</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Cyril of Alexandria, and Ephraim. He also quotes a passage of nine lines from the Sibylline oracles (ed. </w:t>
      </w:r>
      <w:r>
        <w:rPr>
          <w:spacing w:val="0"/>
          <w:w w:val="100"/>
          <w:position w:val="0"/>
          <w:shd w:val="clear" w:color="auto" w:fill="auto"/>
          <w:lang w:val="de-DE" w:eastAsia="de-DE" w:bidi="de-DE"/>
        </w:rPr>
        <w:t xml:space="preserve">Friedlieb, </w:t>
      </w:r>
      <w:r>
        <w:rPr>
          <w:spacing w:val="0"/>
          <w:w w:val="100"/>
          <w:position w:val="0"/>
          <w:shd w:val="clear" w:color="auto" w:fill="auto"/>
          <w:lang w:val="en-US" w:eastAsia="en-US" w:bidi="en-US"/>
        </w:rPr>
        <w:t xml:space="preserve">viii. 287-296). At the end of part third of the Pauline epistles there is in Add. 14683 a chronological section, terminating with the accession of the </w:t>
      </w:r>
      <w:r>
        <w:rPr>
          <w:spacing w:val="0"/>
          <w:w w:val="100"/>
          <w:position w:val="0"/>
          <w:shd w:val="clear" w:color="auto" w:fill="auto"/>
          <w:lang w:val="de-DE" w:eastAsia="de-DE" w:bidi="de-DE"/>
        </w:rPr>
        <w:t xml:space="preserve">'Abbāsi </w:t>
      </w:r>
      <w:r>
        <w:rPr>
          <w:spacing w:val="0"/>
          <w:w w:val="100"/>
          <w:position w:val="0"/>
          <w:shd w:val="clear" w:color="auto" w:fill="auto"/>
          <w:lang w:val="en-US" w:eastAsia="en-US" w:bidi="en-US"/>
        </w:rPr>
        <w:t>caliph al-Mahdi in 775, which probably fixes the date of the author.@@</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Much later he cannot have lived, as Add. 14683 is a MS. of the 10th century, having been presented to the convent of St Mary </w:t>
      </w:r>
      <w:r>
        <w:rPr>
          <w:spacing w:val="0"/>
          <w:w w:val="100"/>
          <w:position w:val="0"/>
          <w:shd w:val="clear" w:color="auto" w:fill="auto"/>
          <w:lang w:val="la-001" w:eastAsia="la-001" w:bidi="la-001"/>
        </w:rPr>
        <w:t xml:space="preserve">Deipara </w:t>
      </w:r>
      <w:r>
        <w:rPr>
          <w:spacing w:val="0"/>
          <w:w w:val="100"/>
          <w:position w:val="0"/>
          <w:shd w:val="clear" w:color="auto" w:fill="auto"/>
          <w:lang w:val="en-US" w:eastAsia="en-US" w:bidi="en-US"/>
        </w:rPr>
        <w:t xml:space="preserve">in Skete by the patriarch Abraham (or Ephraim), who sat from 977 to 981.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18295 there is a scholion by Lazarus explana</w:t>
        <w:softHyphen/>
        <w:t xml:space="preserve">tory of a passage in (pseudo-)Dionysius </w:t>
      </w:r>
      <w:r>
        <w:rPr>
          <w:spacing w:val="0"/>
          <w:w w:val="100"/>
          <w:position w:val="0"/>
          <w:shd w:val="clear" w:color="auto" w:fill="auto"/>
          <w:lang w:val="la-001" w:eastAsia="la-001" w:bidi="la-001"/>
        </w:rPr>
        <w:t>Areopagita.</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34</w:t>
      </w:r>
    </w:p>
    <w:p>
      <w:pPr>
        <w:pStyle w:val="Style2"/>
        <w:keepNext w:val="0"/>
        <w:keepLines w:val="0"/>
        <w:widowControl w:val="0"/>
        <w:shd w:val="clear" w:color="auto" w:fill="auto"/>
        <w:bidi w:val="0"/>
        <w:spacing w:line="202" w:lineRule="auto"/>
        <w:ind w:left="0" w:firstLine="360"/>
        <w:jc w:val="left"/>
        <w:rPr>
          <w:sz w:val="13"/>
          <w:szCs w:val="13"/>
        </w:rPr>
      </w:pPr>
      <w:r>
        <w:rPr>
          <w:spacing w:val="0"/>
          <w:w w:val="100"/>
          <w:position w:val="0"/>
          <w:sz w:val="16"/>
          <w:szCs w:val="16"/>
          <w:shd w:val="clear" w:color="auto" w:fill="auto"/>
          <w:lang w:val="en-US" w:eastAsia="en-US" w:bidi="en-US"/>
        </w:rPr>
        <w:t xml:space="preserve">About this time too may have lived the chronicler Daniel bar Moses the Jacobite, who is cited as an authority by Elias bar </w:t>
      </w:r>
      <w:r>
        <w:rPr>
          <w:spacing w:val="0"/>
          <w:w w:val="100"/>
          <w:position w:val="0"/>
          <w:sz w:val="16"/>
          <w:szCs w:val="16"/>
          <w:shd w:val="clear" w:color="auto" w:fill="auto"/>
          <w:lang w:val="de-DE" w:eastAsia="de-DE" w:bidi="de-DE"/>
        </w:rPr>
        <w:t xml:space="preserve">Shināyā </w:t>
      </w:r>
      <w:r>
        <w:rPr>
          <w:spacing w:val="0"/>
          <w:w w:val="100"/>
          <w:position w:val="0"/>
          <w:sz w:val="16"/>
          <w:szCs w:val="16"/>
          <w:shd w:val="clear" w:color="auto" w:fill="auto"/>
          <w:lang w:val="en-US" w:eastAsia="en-US" w:bidi="en-US"/>
        </w:rPr>
        <w:t xml:space="preserve">in the years 122, 127, and 131 of the Hijrah, </w:t>
      </w:r>
      <w:r>
        <w:rPr>
          <w:i/>
          <w:iCs/>
          <w:spacing w:val="0"/>
          <w:w w:val="100"/>
          <w:position w:val="0"/>
          <w:sz w:val="16"/>
          <w:szCs w:val="16"/>
          <w:shd w:val="clear" w:color="auto" w:fill="auto"/>
          <w:lang w:val="en-US" w:eastAsia="en-US" w:bidi="en-US"/>
        </w:rPr>
        <w:t>i.e.,</w:t>
      </w:r>
      <w:r>
        <w:rPr>
          <w:spacing w:val="0"/>
          <w:w w:val="100"/>
          <w:position w:val="0"/>
          <w:sz w:val="16"/>
          <w:szCs w:val="16"/>
          <w:shd w:val="clear" w:color="auto" w:fill="auto"/>
          <w:lang w:val="en-US" w:eastAsia="en-US" w:bidi="en-US"/>
        </w:rPr>
        <w:t xml:space="preserve"> from 740 to 749 </w:t>
      </w:r>
      <w:r>
        <w:rPr>
          <w:spacing w:val="0"/>
          <w:w w:val="100"/>
          <w:position w:val="0"/>
          <w:sz w:val="13"/>
          <w:szCs w:val="13"/>
          <w:shd w:val="clear" w:color="auto" w:fill="auto"/>
          <w:lang w:val="en-US" w:eastAsia="en-US" w:bidi="en-US"/>
        </w:rPr>
        <w:t>A.I).</w:t>
      </w:r>
      <w:r>
        <w:rPr>
          <w:spacing w:val="0"/>
          <w:w w:val="100"/>
          <w:position w:val="0"/>
          <w:sz w:val="16"/>
          <w:szCs w:val="16"/>
          <w:shd w:val="clear" w:color="auto" w:fill="auto"/>
          <w:lang w:val="en-US" w:eastAsia="en-US" w:bidi="en-US"/>
        </w:rPr>
        <w:t>@@</w:t>
      </w:r>
      <w:r>
        <w:rPr>
          <w:spacing w:val="0"/>
          <w:w w:val="100"/>
          <w:position w:val="0"/>
          <w:sz w:val="13"/>
          <w:szCs w:val="13"/>
          <w:shd w:val="clear" w:color="auto" w:fill="auto"/>
          <w:vertAlign w:val="superscript"/>
          <w:lang w:val="en-US" w:eastAsia="en-US" w:bidi="en-US"/>
        </w:rPr>
        <w:t>35</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Theophilus bar Thomas of </w:t>
      </w:r>
      <w:r>
        <w:rPr>
          <w:spacing w:val="0"/>
          <w:w w:val="100"/>
          <w:position w:val="0"/>
          <w:shd w:val="clear" w:color="auto" w:fill="auto"/>
          <w:lang w:val="la-001" w:eastAsia="la-001" w:bidi="la-001"/>
        </w:rPr>
        <w:t>Edessa</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36</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stated by Bar-Hebræus@@</w:t>
      </w:r>
      <w:r>
        <w:rPr>
          <w:spacing w:val="0"/>
          <w:w w:val="100"/>
          <w:position w:val="0"/>
          <w:shd w:val="clear" w:color="auto" w:fill="auto"/>
          <w:vertAlign w:val="superscript"/>
          <w:lang w:val="en-US" w:eastAsia="en-US" w:bidi="en-US"/>
        </w:rPr>
        <w:t xml:space="preserve">37 </w:t>
      </w:r>
      <w:r>
        <w:rPr>
          <w:spacing w:val="0"/>
          <w:w w:val="100"/>
          <w:position w:val="0"/>
          <w:shd w:val="clear" w:color="auto" w:fill="auto"/>
          <w:lang w:val="en-US" w:eastAsia="en-US" w:bidi="en-US"/>
        </w:rPr>
        <w:t xml:space="preserve">to have been by religious profession </w:t>
      </w:r>
      <w:r>
        <w:rPr>
          <w:spacing w:val="0"/>
          <w:w w:val="100"/>
          <w:position w:val="0"/>
          <w:shd w:val="clear" w:color="auto" w:fill="auto"/>
          <w:lang w:val="la-001" w:eastAsia="la-001" w:bidi="la-001"/>
        </w:rPr>
        <w:t xml:space="preserve">a Maronite. </w:t>
      </w:r>
      <w:r>
        <w:rPr>
          <w:spacing w:val="0"/>
          <w:w w:val="100"/>
          <w:position w:val="0"/>
          <w:shd w:val="clear" w:color="auto" w:fill="auto"/>
          <w:lang w:val="en-US" w:eastAsia="en-US" w:bidi="en-US"/>
        </w:rPr>
        <w:t xml:space="preserve">He was addicted to the study of astrology, and an anecdote is related by </w:t>
      </w:r>
      <w:r>
        <w:rPr>
          <w:spacing w:val="0"/>
          <w:w w:val="100"/>
          <w:position w:val="0"/>
          <w:shd w:val="clear" w:color="auto" w:fill="auto"/>
          <w:lang w:val="fr-FR" w:eastAsia="fr-FR" w:bidi="fr-FR"/>
        </w:rPr>
        <w:t xml:space="preserve">Bar- Hebræus </w:t>
      </w:r>
      <w:r>
        <w:rPr>
          <w:spacing w:val="0"/>
          <w:w w:val="100"/>
          <w:position w:val="0"/>
          <w:shd w:val="clear" w:color="auto" w:fill="auto"/>
          <w:lang w:val="en-US" w:eastAsia="en-US" w:bidi="en-US"/>
        </w:rPr>
        <w:t xml:space="preserve">of his correspondence with Hasanah, the concubine of the caliph al-Mahdi, which fixes the date of his death in 785. He was the author of a history, which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cites@@</w:t>
      </w:r>
      <w:r>
        <w:rPr>
          <w:spacing w:val="0"/>
          <w:w w:val="100"/>
          <w:position w:val="0"/>
          <w:shd w:val="clear" w:color="auto" w:fill="auto"/>
          <w:vertAlign w:val="superscript"/>
          <w:lang w:val="en-US" w:eastAsia="en-US" w:bidi="en-US"/>
        </w:rPr>
        <w:t>38</w:t>
      </w:r>
      <w:r>
        <w:rPr>
          <w:spacing w:val="0"/>
          <w:w w:val="100"/>
          <w:position w:val="0"/>
          <w:shd w:val="clear" w:color="auto" w:fill="auto"/>
          <w:lang w:val="en-US" w:eastAsia="en-US" w:bidi="en-US"/>
        </w:rPr>
        <w:t xml:space="preserve"> and com</w:t>
        <w:softHyphen/>
        <w:t>mends. He also translated into Syriac “the two books of the poet Homer on the conquest of the city of Ilion.”@@</w:t>
      </w:r>
      <w:r>
        <w:rPr>
          <w:spacing w:val="0"/>
          <w:w w:val="100"/>
          <w:position w:val="0"/>
          <w:shd w:val="clear" w:color="auto" w:fill="auto"/>
          <w:vertAlign w:val="superscript"/>
          <w:lang w:val="en-US" w:eastAsia="en-US" w:bidi="en-US"/>
        </w:rPr>
        <w:t>39</w:t>
      </w:r>
      <w:r>
        <w:rPr>
          <w:spacing w:val="0"/>
          <w:w w:val="100"/>
          <w:position w:val="0"/>
          <w:shd w:val="clear" w:color="auto" w:fill="auto"/>
          <w:lang w:val="en-US" w:eastAsia="en-US" w:bidi="en-US"/>
        </w:rPr>
        <w:t xml:space="preserve"> This evi</w:t>
        <w:softHyphen/>
        <w:t xml:space="preserve">dently means a version of the entire </w:t>
      </w:r>
      <w:r>
        <w:rPr>
          <w:i/>
          <w:iCs/>
          <w:spacing w:val="0"/>
          <w:w w:val="100"/>
          <w:position w:val="0"/>
          <w:shd w:val="clear" w:color="auto" w:fill="auto"/>
          <w:lang w:val="en-US" w:eastAsia="en-US" w:bidi="en-US"/>
        </w:rPr>
        <w:t>Iliad</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Odyssey,</w:t>
      </w:r>
      <w:r>
        <w:rPr>
          <w:spacing w:val="0"/>
          <w:w w:val="100"/>
          <w:position w:val="0"/>
          <w:shd w:val="clear" w:color="auto" w:fill="auto"/>
          <w:lang w:val="en-US" w:eastAsia="en-US" w:bidi="en-US"/>
        </w:rPr>
        <w:t xml:space="preserve"> incredible as it may appear.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Lagarde was, we believe, the first to discover citations of this work by Jacob, or </w:t>
      </w:r>
      <w:r>
        <w:rPr>
          <w:spacing w:val="0"/>
          <w:w w:val="100"/>
          <w:position w:val="0"/>
          <w:shd w:val="clear" w:color="auto" w:fill="auto"/>
          <w:lang w:val="la-001" w:eastAsia="la-001" w:bidi="la-001"/>
        </w:rPr>
        <w:t xml:space="preserve">Severas, </w:t>
      </w:r>
      <w:r>
        <w:rPr>
          <w:spacing w:val="0"/>
          <w:w w:val="100"/>
          <w:position w:val="0"/>
          <w:shd w:val="clear" w:color="auto" w:fill="auto"/>
          <w:lang w:val="en-US" w:eastAsia="en-US" w:bidi="en-US"/>
        </w:rPr>
        <w:t>bar Shakkō, bishop of</w:t>
      </w:r>
    </w:p>
    <w:p>
      <w:pPr>
        <w:pStyle w:val="Style6"/>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1161, and comp. Renan, </w:t>
      </w:r>
      <w:r>
        <w:rPr>
          <w:i/>
          <w:iCs/>
          <w:spacing w:val="0"/>
          <w:w w:val="100"/>
          <w:position w:val="0"/>
          <w:shd w:val="clear" w:color="auto" w:fill="auto"/>
          <w:lang w:val="en-US" w:eastAsia="en-US" w:bidi="en-US"/>
        </w:rPr>
        <w:t>οp. cit.,</w:t>
      </w:r>
      <w:r>
        <w:rPr>
          <w:spacing w:val="0"/>
          <w:w w:val="100"/>
          <w:position w:val="0"/>
          <w:shd w:val="clear" w:color="auto" w:fill="auto"/>
          <w:lang w:val="en-US" w:eastAsia="en-US" w:bidi="en-US"/>
        </w:rPr>
        <w:t xml:space="preserve"> p. 31.</w:t>
      </w:r>
    </w:p>
    <w:p>
      <w:pPr>
        <w:pStyle w:val="Style6"/>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12181 and 14600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558-569).</w:t>
      </w:r>
    </w:p>
    <w:p>
      <w:pPr>
        <w:pStyle w:val="Style6"/>
        <w:keepNext w:val="0"/>
        <w:keepLines w:val="0"/>
        <w:widowControl w:val="0"/>
        <w:shd w:val="clear" w:color="auto" w:fill="auto"/>
        <w:tabs>
          <w:tab w:pos="1768" w:val="left"/>
          <w:tab w:pos="2776"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441.</w:t>
        <w:tab/>
      </w:r>
    </w:p>
    <w:p>
      <w:pPr>
        <w:pStyle w:val="Style6"/>
        <w:keepNext w:val="0"/>
        <w:keepLines w:val="0"/>
        <w:widowControl w:val="0"/>
        <w:shd w:val="clear" w:color="auto" w:fill="auto"/>
        <w:tabs>
          <w:tab w:pos="1768" w:val="left"/>
          <w:tab w:pos="2776"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4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425.</w:t>
        <w:tab/>
      </w:r>
    </w:p>
    <w:p>
      <w:pPr>
        <w:pStyle w:val="Style6"/>
        <w:keepNext w:val="0"/>
        <w:keepLines w:val="0"/>
        <w:widowControl w:val="0"/>
        <w:shd w:val="clear" w:color="auto" w:fill="auto"/>
        <w:tabs>
          <w:tab w:pos="1768" w:val="left"/>
          <w:tab w:pos="2776"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5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18, col. 2.</w:t>
      </w:r>
    </w:p>
    <w:p>
      <w:pPr>
        <w:pStyle w:val="Style6"/>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6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218, col. 1 ;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47, col. 1, No. 23, d.</w:t>
      </w:r>
    </w:p>
    <w:p>
      <w:pPr>
        <w:pStyle w:val="Style6"/>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Cod. Vat. xcvi.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 521) ;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cxlix., 502, col. 2 ; iii. 1, 23, note.</w:t>
      </w:r>
    </w:p>
    <w:p>
      <w:pPr>
        <w:pStyle w:val="Style6"/>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8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775, 433, col. 1.</w:t>
      </w:r>
    </w:p>
    <w:p>
      <w:pPr>
        <w:pStyle w:val="Style6"/>
        <w:keepNext w:val="0"/>
        <w:keepLines w:val="0"/>
        <w:widowControl w:val="0"/>
        <w:shd w:val="clear" w:color="auto" w:fill="auto"/>
        <w:tabs>
          <w:tab w:pos="2488" w:val="left"/>
        </w:tabs>
        <w:bidi w:val="0"/>
        <w:spacing w:line="192" w:lineRule="auto"/>
        <w:ind w:left="0" w:firstLine="360"/>
        <w:jc w:val="left"/>
      </w:pPr>
      <w:r>
        <w:rPr>
          <w:color w:val="73684C"/>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9</w:t>
      </w:r>
      <w:r>
        <w:rPr>
          <w:i/>
          <w:iCs/>
          <w:spacing w:val="0"/>
          <w:w w:val="100"/>
          <w:position w:val="0"/>
          <w:shd w:val="clear" w:color="auto" w:fill="auto"/>
          <w:lang w:val="en-US" w:eastAsia="en-US" w:bidi="en-US"/>
        </w:rPr>
        <w:t xml:space="preserve"> B.o.,</w:t>
      </w:r>
      <w:r>
        <w:rPr>
          <w:spacing w:val="0"/>
          <w:w w:val="100"/>
          <w:position w:val="0"/>
          <w:shd w:val="clear" w:color="auto" w:fill="auto"/>
          <w:lang w:val="en-US" w:eastAsia="en-US" w:bidi="en-US"/>
        </w:rPr>
        <w:t xml:space="preserve"> i. 494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293, 303 ; Hoffmann,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Her- meneιιticis </w:t>
      </w:r>
      <w:r>
        <w:rPr>
          <w:i/>
          <w:iCs/>
          <w:spacing w:val="0"/>
          <w:w w:val="100"/>
          <w:position w:val="0"/>
          <w:shd w:val="clear" w:color="auto" w:fill="auto"/>
          <w:lang w:val="la-001" w:eastAsia="la-001" w:bidi="la-001"/>
        </w:rPr>
        <w:t>apud Syros Aristoteleis,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pp. 148-151 ; Renan,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Philos. Peripat. ap. </w:t>
      </w:r>
      <w:r>
        <w:rPr>
          <w:i/>
          <w:iCs/>
          <w:spacing w:val="0"/>
          <w:w w:val="100"/>
          <w:position w:val="0"/>
          <w:shd w:val="clear" w:color="auto" w:fill="auto"/>
          <w:lang w:val="la-001" w:eastAsia="la-001" w:bidi="la-001"/>
        </w:rPr>
        <w:t>Syros,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pp. 32-33.</w:t>
        <w:tab/>
      </w:r>
    </w:p>
    <w:p>
      <w:pPr>
        <w:pStyle w:val="Style6"/>
        <w:keepNext w:val="0"/>
        <w:keepLines w:val="0"/>
        <w:widowControl w:val="0"/>
        <w:shd w:val="clear" w:color="auto" w:fill="auto"/>
        <w:tabs>
          <w:tab w:pos="2668"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 See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1163.</w:t>
      </w:r>
    </w:p>
    <w:p>
      <w:pPr>
        <w:pStyle w:val="Style6"/>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11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Add.14725, ff.100-215. It was evidently written after the death of Athanasius II., as shown by the remark on f. 132a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443, col. 1). The commentary contained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17197, ff. 1-25 (Wright, </w:t>
      </w:r>
      <w:r>
        <w:rPr>
          <w:i/>
          <w:iCs/>
          <w:spacing w:val="0"/>
          <w:w w:val="100"/>
          <w:position w:val="0"/>
          <w:shd w:val="clear" w:color="auto" w:fill="auto"/>
          <w:lang w:val="en-US" w:eastAsia="en-US" w:bidi="en-US"/>
        </w:rPr>
        <w:t xml:space="preserve">Catal., </w:t>
      </w:r>
      <w:r>
        <w:rPr>
          <w:spacing w:val="0"/>
          <w:w w:val="100"/>
          <w:position w:val="0"/>
          <w:shd w:val="clear" w:color="auto" w:fill="auto"/>
          <w:lang w:val="en-US" w:eastAsia="en-US" w:bidi="en-US"/>
        </w:rPr>
        <w:t xml:space="preserve">p. 441) is perhaps that of Elias, bishop of </w:t>
      </w:r>
      <w:r>
        <w:rPr>
          <w:spacing w:val="0"/>
          <w:w w:val="100"/>
          <w:position w:val="0"/>
          <w:shd w:val="clear" w:color="auto" w:fill="auto"/>
          <w:lang w:val="fr-FR" w:eastAsia="fr-FR" w:bidi="fr-FR"/>
        </w:rPr>
        <w:t>Shiggār (</w:t>
      </w:r>
      <w:r>
        <w:rPr>
          <w:rStyle w:val="CharStyle3"/>
          <w:lang w:val="fr-FR" w:eastAsia="fr-FR" w:bidi="fr-FR"/>
        </w:rPr>
        <w:t>Sinj</w:t>
      </w:r>
      <w:r>
        <w:rPr>
          <w:rStyle w:val="CharStyle3"/>
        </w:rPr>
        <w:t>ā</w:t>
      </w:r>
      <w:r>
        <w:rPr>
          <w:rStyle w:val="CharStyle3"/>
          <w:lang w:val="fr-FR" w:eastAsia="fr-FR" w:bidi="fr-FR"/>
        </w:rPr>
        <w:t>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who flourished about 750, and is expressly stated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339) to have compiled a commentary on the first volume of Gregory Nazianzen (as translated by Paul). He followed the older exposition of Benjamin, bishop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This Benjamin was the writer of a letter on the Eucharistic service and baptism (W right, </w:t>
      </w:r>
      <w:r>
        <w:rPr>
          <w:i/>
          <w:iCs/>
          <w:spacing w:val="0"/>
          <w:w w:val="100"/>
          <w:position w:val="0"/>
          <w:shd w:val="clear" w:color="auto" w:fill="auto"/>
          <w:lang w:val="en-US" w:eastAsia="en-US" w:bidi="en-US"/>
        </w:rPr>
        <w:t>Catal., p.</w:t>
      </w:r>
      <w:r>
        <w:rPr>
          <w:spacing w:val="0"/>
          <w:w w:val="100"/>
          <w:position w:val="0"/>
          <w:shd w:val="clear" w:color="auto" w:fill="auto"/>
          <w:lang w:val="en-US" w:eastAsia="en-US" w:bidi="en-US"/>
        </w:rPr>
        <w:t xml:space="preserve"> 1004, col. 2).</w:t>
      </w:r>
    </w:p>
    <w:p>
      <w:pPr>
        <w:pStyle w:val="Style6"/>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12 </w:t>
      </w:r>
      <w:r>
        <w:rPr>
          <w:spacing w:val="0"/>
          <w:w w:val="100"/>
          <w:position w:val="0"/>
          <w:shd w:val="clear" w:color="auto" w:fill="auto"/>
          <w:lang w:val="en-US" w:eastAsia="en-US" w:bidi="en-US"/>
        </w:rPr>
        <w:t xml:space="preserve">See Land,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 p. 4.</w:t>
      </w:r>
    </w:p>
    <w:p>
      <w:pPr>
        <w:pStyle w:val="Style6"/>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1</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I1.Ο.,</w:t>
      </w:r>
      <w:r>
        <w:rPr>
          <w:spacing w:val="0"/>
          <w:w w:val="100"/>
          <w:position w:val="0"/>
          <w:shd w:val="clear" w:color="auto" w:fill="auto"/>
          <w:lang w:val="en-US" w:eastAsia="en-US" w:bidi="en-US"/>
        </w:rPr>
        <w:t xml:space="preserve"> i. 494-495; comp.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909, col. 2.</w:t>
      </w:r>
    </w:p>
    <w:p>
      <w:pPr>
        <w:pStyle w:val="Style6"/>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14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985.</w:t>
      </w:r>
    </w:p>
    <w:p>
      <w:pPr>
        <w:pStyle w:val="Style6"/>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15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 332 ; </w:t>
      </w:r>
      <w:r>
        <w:rPr>
          <w:i/>
          <w:iCs/>
          <w:spacing w:val="0"/>
          <w:w w:val="100"/>
          <w:position w:val="0"/>
          <w:shd w:val="clear" w:color="auto" w:fill="auto"/>
          <w:lang w:val="en-US" w:eastAsia="en-US" w:bidi="en-US"/>
        </w:rPr>
        <w:t>Catal. Pat.,</w:t>
      </w:r>
      <w:r>
        <w:rPr>
          <w:spacing w:val="0"/>
          <w:w w:val="100"/>
          <w:position w:val="0"/>
          <w:shd w:val="clear" w:color="auto" w:fill="auto"/>
          <w:lang w:val="en-US" w:eastAsia="en-US" w:bidi="en-US"/>
        </w:rPr>
        <w:t xml:space="preserve"> iii. 102, No. 188 ;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848, No. 78.</w:t>
      </w:r>
    </w:p>
    <w:p>
      <w:pPr>
        <w:pStyle w:val="Style6"/>
        <w:keepNext w:val="0"/>
        <w:keepLines w:val="0"/>
        <w:widowControl w:val="0"/>
        <w:shd w:val="clear" w:color="auto" w:fill="auto"/>
        <w:tabs>
          <w:tab w:pos="2545"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16 </w:t>
      </w:r>
      <w:r>
        <w:rPr>
          <w:i/>
          <w:iCs/>
          <w:spacing w:val="0"/>
          <w:w w:val="100"/>
          <w:position w:val="0"/>
          <w:shd w:val="clear" w:color="auto" w:fill="auto"/>
          <w:lang w:val="en-US" w:eastAsia="en-US" w:bidi="en-US"/>
        </w:rPr>
        <w:t>Bodleian Catal.,</w:t>
      </w:r>
      <w:r>
        <w:rPr>
          <w:spacing w:val="0"/>
          <w:w w:val="100"/>
          <w:position w:val="0"/>
          <w:shd w:val="clear" w:color="auto" w:fill="auto"/>
          <w:lang w:val="en-US" w:eastAsia="en-US" w:bidi="en-US"/>
        </w:rPr>
        <w:t xml:space="preserve"> p. 425, No. 88.</w:t>
        <w:tab/>
      </w:r>
    </w:p>
    <w:p>
      <w:pPr>
        <w:pStyle w:val="Style6"/>
        <w:keepNext w:val="0"/>
        <w:keepLines w:val="0"/>
        <w:widowControl w:val="0"/>
        <w:shd w:val="clear" w:color="auto" w:fill="auto"/>
        <w:tabs>
          <w:tab w:pos="2545"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17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 495 ; </w:t>
      </w:r>
      <w:r>
        <w:rPr>
          <w:i/>
          <w:iCs/>
          <w:spacing w:val="0"/>
          <w:w w:val="100"/>
          <w:position w:val="0"/>
          <w:shd w:val="clear" w:color="auto" w:fill="auto"/>
          <w:lang w:val="en-US" w:eastAsia="en-US" w:bidi="en-US"/>
        </w:rPr>
        <w:t>Catal. Pal.,</w:t>
      </w:r>
      <w:r>
        <w:rPr>
          <w:spacing w:val="0"/>
          <w:w w:val="100"/>
          <w:position w:val="0"/>
          <w:shd w:val="clear" w:color="auto" w:fill="auto"/>
          <w:lang w:val="en-US" w:eastAsia="en-US" w:bidi="en-US"/>
        </w:rPr>
        <w:t xml:space="preserve"> iii. 532.</w:t>
      </w:r>
    </w:p>
    <w:p>
      <w:pPr>
        <w:pStyle w:val="Style6"/>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18 Rosen,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88, Nos. 32, 33 ; comp, also the “Table of the New Moons,” in </w:t>
      </w:r>
      <w:r>
        <w:rPr>
          <w:i/>
          <w:iCs/>
          <w:spacing w:val="0"/>
          <w:w w:val="100"/>
          <w:position w:val="0"/>
          <w:shd w:val="clear" w:color="auto" w:fill="auto"/>
          <w:lang w:val="en-US" w:eastAsia="en-US" w:bidi="en-US"/>
        </w:rPr>
        <w:t>Catal. Pat.,</w:t>
      </w:r>
      <w:r>
        <w:rPr>
          <w:spacing w:val="0"/>
          <w:w w:val="100"/>
          <w:position w:val="0"/>
          <w:shd w:val="clear" w:color="auto" w:fill="auto"/>
          <w:lang w:val="en-US" w:eastAsia="en-US" w:bidi="en-US"/>
        </w:rPr>
        <w:t xml:space="preserve"> ii. 402.</w:t>
      </w:r>
    </w:p>
    <w:p>
      <w:pPr>
        <w:pStyle w:val="Style6"/>
        <w:keepNext w:val="0"/>
        <w:keepLines w:val="0"/>
        <w:widowControl w:val="0"/>
        <w:shd w:val="clear" w:color="auto" w:fill="auto"/>
        <w:tabs>
          <w:tab w:pos="1282" w:val="left"/>
        </w:tabs>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 It has been printed by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Lagarde, </w:t>
      </w:r>
      <w:r>
        <w:rPr>
          <w:i/>
          <w:iCs/>
          <w:spacing w:val="0"/>
          <w:w w:val="100"/>
          <w:position w:val="0"/>
          <w:shd w:val="clear" w:color="auto" w:fill="auto"/>
          <w:lang w:val="en-US" w:eastAsia="en-US" w:bidi="en-US"/>
        </w:rPr>
        <w:t>Anal. Syr.,</w:t>
      </w:r>
      <w:r>
        <w:rPr>
          <w:spacing w:val="0"/>
          <w:w w:val="100"/>
          <w:position w:val="0"/>
          <w:shd w:val="clear" w:color="auto" w:fill="auto"/>
          <w:lang w:val="en-US" w:eastAsia="en-US" w:bidi="en-US"/>
        </w:rPr>
        <w:t xml:space="preserve"> pp. 108-134, and partly re</w:t>
        <w:softHyphen/>
        <w:t xml:space="preserve">printed by Wright, </w:t>
      </w:r>
      <w:r>
        <w:rPr>
          <w:i/>
          <w:iCs/>
          <w:spacing w:val="0"/>
          <w:w w:val="100"/>
          <w:position w:val="0"/>
          <w:shd w:val="clear" w:color="auto" w:fill="auto"/>
          <w:lang w:val="en-US" w:eastAsia="en-US" w:bidi="en-US"/>
        </w:rPr>
        <w:t>The Homilies of Aphraates,</w:t>
      </w:r>
      <w:r>
        <w:rPr>
          <w:spacing w:val="0"/>
          <w:w w:val="100"/>
          <w:position w:val="0"/>
          <w:shd w:val="clear" w:color="auto" w:fill="auto"/>
          <w:lang w:val="en-US" w:eastAsia="en-US" w:bidi="en-US"/>
        </w:rPr>
        <w:t xml:space="preserve"> pp. 19-37. Ryssel has translated and annotated it in </w:t>
      </w:r>
      <w:r>
        <w:rPr>
          <w:i/>
          <w:iCs/>
          <w:spacing w:val="0"/>
          <w:w w:val="100"/>
          <w:position w:val="0"/>
          <w:shd w:val="clear" w:color="auto" w:fill="auto"/>
          <w:lang w:val="de-DE" w:eastAsia="de-DE" w:bidi="de-DE"/>
        </w:rPr>
        <w:t xml:space="preserve">Ein </w:t>
      </w:r>
      <w:r>
        <w:rPr>
          <w:i/>
          <w:iCs/>
          <w:spacing w:val="0"/>
          <w:w w:val="100"/>
          <w:position w:val="0"/>
          <w:shd w:val="clear" w:color="auto" w:fill="auto"/>
          <w:lang w:val="en-US" w:eastAsia="en-US" w:bidi="en-US"/>
        </w:rPr>
        <w:t xml:space="preserve">Brief </w:t>
      </w:r>
      <w:r>
        <w:rPr>
          <w:i/>
          <w:iCs/>
          <w:spacing w:val="0"/>
          <w:w w:val="100"/>
          <w:position w:val="0"/>
          <w:shd w:val="clear" w:color="auto" w:fill="auto"/>
          <w:lang w:val="de-DE" w:eastAsia="de-DE" w:bidi="de-DE"/>
        </w:rPr>
        <w:t xml:space="preserve">Georgs, Bischofs der Araber, </w:t>
      </w:r>
      <w:r>
        <w:rPr>
          <w:i/>
          <w:iCs/>
          <w:spacing w:val="0"/>
          <w:w w:val="100"/>
          <w:position w:val="0"/>
          <w:shd w:val="clear" w:color="auto" w:fill="auto"/>
          <w:lang w:val="en-US" w:eastAsia="en-US" w:bidi="en-US"/>
        </w:rPr>
        <w:t xml:space="preserve">an d. Presbyter Jesus, </w:t>
      </w:r>
      <w:r>
        <w:rPr>
          <w:spacing w:val="0"/>
          <w:w w:val="100"/>
          <w:position w:val="0"/>
          <w:shd w:val="clear" w:color="auto" w:fill="auto"/>
          <w:lang w:val="en-US" w:eastAsia="en-US" w:bidi="en-US"/>
        </w:rPr>
        <w:t>1883.</w:t>
        <w:tab/>
      </w:r>
    </w:p>
    <w:p>
      <w:pPr>
        <w:pStyle w:val="Style6"/>
        <w:keepNext w:val="0"/>
        <w:keepLines w:val="0"/>
        <w:widowControl w:val="0"/>
        <w:shd w:val="clear" w:color="auto" w:fill="auto"/>
        <w:tabs>
          <w:tab w:pos="1462" w:val="left"/>
        </w:tabs>
        <w:bidi w:val="0"/>
        <w:spacing w:line="192"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20 </w:t>
      </w:r>
      <w:r>
        <w:rPr>
          <w:spacing w:val="0"/>
          <w:w w:val="100"/>
          <w:position w:val="0"/>
          <w:shd w:val="clear" w:color="auto" w:fill="auto"/>
          <w:lang w:val="en-US" w:eastAsia="en-US" w:bidi="en-US"/>
        </w:rPr>
        <w:t xml:space="preserve">See Hoffmann in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xxxii. 741.</w:t>
      </w:r>
    </w:p>
    <w:p>
      <w:pPr>
        <w:pStyle w:val="Style6"/>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21 According to a note in Payne Smith’s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62, he was bishop of Telia </w:t>
      </w:r>
      <w:r>
        <w:rPr>
          <w:spacing w:val="0"/>
          <w:w w:val="100"/>
          <w:position w:val="0"/>
          <w:shd w:val="clear" w:color="auto" w:fill="auto"/>
          <w:lang w:val="fr-FR" w:eastAsia="fr-FR" w:bidi="fr-FR"/>
        </w:rPr>
        <w:t xml:space="preserve">dhé-Mauzēlath </w:t>
      </w:r>
      <w:r>
        <w:rPr>
          <w:spacing w:val="0"/>
          <w:w w:val="100"/>
          <w:position w:val="0"/>
          <w:shd w:val="clear" w:color="auto" w:fill="auto"/>
          <w:lang w:val="en-US" w:eastAsia="en-US" w:bidi="en-US"/>
        </w:rPr>
        <w:t xml:space="preserve">; but at the time when he wrote his commentary on the Psalms he was certainly only a priest and abbot of a convent (see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605, col. 2).</w:t>
      </w:r>
    </w:p>
    <w:p>
      <w:pPr>
        <w:pStyle w:val="Style6"/>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22 MSS.—parti., Pss. i.-l.,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17187 ; part ii., Pss. li.-c., Add. 14679,14668 (only three leaves) (see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605-606) ; Cod. Vat. clv., Pss. i.-lxviii. </w:t>
      </w:r>
      <w:r>
        <w:rPr>
          <w:i/>
          <w:iCs/>
          <w:spacing w:val="0"/>
          <w:w w:val="100"/>
          <w:position w:val="0"/>
          <w:shd w:val="clear" w:color="auto" w:fill="auto"/>
          <w:lang w:val="en-US" w:eastAsia="en-US" w:bidi="en-US"/>
        </w:rPr>
        <w:t>(Catal. Pat.,</w:t>
      </w:r>
      <w:r>
        <w:rPr>
          <w:spacing w:val="0"/>
          <w:w w:val="100"/>
          <w:position w:val="0"/>
          <w:shd w:val="clear" w:color="auto" w:fill="auto"/>
          <w:lang w:val="en-US" w:eastAsia="en-US" w:bidi="en-US"/>
        </w:rPr>
        <w:t xml:space="preserve"> iii. 297); part iii., Pss. ci.-cl., in Arabic,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 xml:space="preserve">55. It is frequently cited by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Ansar Base</w:t>
      </w:r>
      <w:r>
        <w:rPr>
          <w:spacing w:val="0"/>
          <w:w w:val="100"/>
          <w:position w:val="0"/>
          <w:shd w:val="clear" w:color="auto" w:fill="auto"/>
          <w:lang w:val="en-US" w:eastAsia="en-US" w:bidi="en-US"/>
        </w:rPr>
        <w:t xml:space="preserve"> in Seve</w:t>
        <w:softHyphen/>
        <w:t xml:space="preserve">rus’s </w:t>
      </w:r>
      <w:r>
        <w:rPr>
          <w:i/>
          <w:iCs/>
          <w:spacing w:val="0"/>
          <w:w w:val="100"/>
          <w:position w:val="0"/>
          <w:shd w:val="clear" w:color="auto" w:fill="auto"/>
          <w:lang w:val="en-US" w:eastAsia="en-US" w:bidi="en-US"/>
        </w:rPr>
        <w:t>Catena,</w:t>
      </w:r>
      <w:r>
        <w:rPr>
          <w:spacing w:val="0"/>
          <w:w w:val="100"/>
          <w:position w:val="0"/>
          <w:shd w:val="clear" w:color="auto" w:fill="auto"/>
          <w:lang w:val="en-US" w:eastAsia="en-US" w:bidi="en-US"/>
        </w:rPr>
        <w:t xml:space="preserve"> and also by </w:t>
      </w:r>
      <w:r>
        <w:rPr>
          <w:spacing w:val="0"/>
          <w:w w:val="100"/>
          <w:position w:val="0"/>
          <w:shd w:val="clear" w:color="auto" w:fill="auto"/>
          <w:lang w:val="de-DE" w:eastAsia="de-DE" w:bidi="de-DE"/>
        </w:rPr>
        <w:t xml:space="preserve">Antonius </w:t>
      </w:r>
      <w:r>
        <w:rPr>
          <w:spacing w:val="0"/>
          <w:w w:val="100"/>
          <w:position w:val="0"/>
          <w:shd w:val="clear" w:color="auto" w:fill="auto"/>
          <w:lang w:val="en-US" w:eastAsia="en-US" w:bidi="en-US"/>
        </w:rPr>
        <w:t xml:space="preserve">Rhetor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831, col. 1).</w:t>
      </w:r>
    </w:p>
    <w:p>
      <w:pPr>
        <w:pStyle w:val="Style6"/>
        <w:keepNext w:val="0"/>
        <w:keepLines w:val="0"/>
        <w:widowControl w:val="0"/>
        <w:shd w:val="clear" w:color="auto" w:fill="auto"/>
        <w:tabs>
          <w:tab w:pos="342" w:val="left"/>
        </w:tabs>
        <w:bidi w:val="0"/>
        <w:spacing w:line="197"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23</w:t>
        <w:tab/>
      </w:r>
      <w:r>
        <w:rPr>
          <w:i/>
          <w:iCs/>
          <w:spacing w:val="0"/>
          <w:w w:val="100"/>
          <w:position w:val="0"/>
          <w:shd w:val="clear" w:color="auto" w:fill="auto"/>
          <w:lang w:val="en-US" w:eastAsia="en-US" w:bidi="en-US"/>
        </w:rPr>
        <w:t>Catal. Pat.,</w:t>
      </w:r>
      <w:r>
        <w:rPr>
          <w:spacing w:val="0"/>
          <w:w w:val="100"/>
          <w:position w:val="0"/>
          <w:shd w:val="clear" w:color="auto" w:fill="auto"/>
          <w:lang w:val="en-US" w:eastAsia="en-US" w:bidi="en-US"/>
        </w:rPr>
        <w:t xml:space="preserve"> iii. 17 ;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909.</w:t>
      </w:r>
    </w:p>
    <w:p>
      <w:pPr>
        <w:pStyle w:val="Style6"/>
        <w:keepNext w:val="0"/>
        <w:keepLines w:val="0"/>
        <w:widowControl w:val="0"/>
        <w:shd w:val="clear" w:color="auto" w:fill="auto"/>
        <w:tabs>
          <w:tab w:pos="284" w:val="left"/>
        </w:tabs>
        <w:bidi w:val="0"/>
        <w:spacing w:line="197"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24</w:t>
        <w:tab/>
      </w:r>
      <w:r>
        <w:rPr>
          <w:i/>
          <w:iCs/>
          <w:spacing w:val="0"/>
          <w:w w:val="100"/>
          <w:position w:val="0"/>
          <w:shd w:val="clear" w:color="auto" w:fill="auto"/>
          <w:lang w:val="en-US" w:eastAsia="en-US" w:bidi="en-US"/>
        </w:rPr>
        <w:t>ι.e.,</w:t>
      </w:r>
      <w:r>
        <w:rPr>
          <w:spacing w:val="0"/>
          <w:w w:val="100"/>
          <w:position w:val="0"/>
          <w:shd w:val="clear" w:color="auto" w:fill="auto"/>
          <w:lang w:val="en-US" w:eastAsia="en-US" w:bidi="en-US"/>
        </w:rPr>
        <w:t xml:space="preserve"> Maiperkat or </w:t>
      </w:r>
      <w:r>
        <w:rPr>
          <w:spacing w:val="0"/>
          <w:w w:val="100"/>
          <w:position w:val="0"/>
          <w:shd w:val="clear" w:color="auto" w:fill="auto"/>
          <w:lang w:val="fr-FR" w:eastAsia="fr-FR" w:bidi="fr-FR"/>
        </w:rPr>
        <w:t xml:space="preserve">Maiyāfārikīn. </w:t>
      </w:r>
      <w:r>
        <w:rPr>
          <w:spacing w:val="0"/>
          <w:w w:val="100"/>
          <w:position w:val="0"/>
          <w:shd w:val="clear" w:color="auto" w:fill="auto"/>
          <w:lang w:val="en-US" w:eastAsia="en-US" w:bidi="en-US"/>
        </w:rPr>
        <w:t>Assemani calls him bishop of Taghrith or Tekrit.</w:t>
      </w:r>
    </w:p>
    <w:p>
      <w:pPr>
        <w:pStyle w:val="Style6"/>
        <w:keepNext w:val="0"/>
        <w:keepLines w:val="0"/>
        <w:widowControl w:val="0"/>
        <w:shd w:val="clear" w:color="auto" w:fill="auto"/>
        <w:bidi w:val="0"/>
        <w:spacing w:line="197"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 465 ; ii. 96. The epistles to Christopher against Probus and John Grammaticus of Alexandria, and to the monks of the convent of </w:t>
      </w:r>
      <w:r>
        <w:rPr>
          <w:spacing w:val="0"/>
          <w:w w:val="100"/>
          <w:position w:val="0"/>
          <w:shd w:val="clear" w:color="auto" w:fill="auto"/>
          <w:lang w:val="de-DE" w:eastAsia="de-DE" w:bidi="de-DE"/>
        </w:rPr>
        <w:t xml:space="preserve">Mār </w:t>
      </w:r>
      <w:r>
        <w:rPr>
          <w:spacing w:val="0"/>
          <w:w w:val="100"/>
          <w:position w:val="0"/>
          <w:shd w:val="clear" w:color="auto" w:fill="auto"/>
          <w:lang w:val="en-US" w:eastAsia="en-US" w:bidi="en-US"/>
        </w:rPr>
        <w:t xml:space="preserve">Matthew, are also cited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17197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607).</w:t>
      </w:r>
    </w:p>
    <w:p>
      <w:pPr>
        <w:pStyle w:val="Style6"/>
        <w:keepNext w:val="0"/>
        <w:keepLines w:val="0"/>
        <w:widowControl w:val="0"/>
        <w:shd w:val="clear" w:color="auto" w:fill="auto"/>
        <w:tabs>
          <w:tab w:pos="288" w:val="left"/>
        </w:tabs>
        <w:bidi w:val="0"/>
        <w:spacing w:line="197"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26</w:t>
        <w:tab/>
        <w:t xml:space="preserve">Assemani places Constantine as early as 630 and Leo about 640 </w:t>
      </w:r>
      <w:r>
        <w:rPr>
          <w:i/>
          <w:iCs/>
          <w:spacing w:val="0"/>
          <w:w w:val="100"/>
          <w:position w:val="0"/>
          <w:shd w:val="clear" w:color="auto" w:fill="auto"/>
          <w:lang w:val="en-US" w:eastAsia="en-US" w:bidi="en-US"/>
        </w:rPr>
        <w:t>(B.0.,</w:t>
      </w:r>
      <w:r>
        <w:rPr>
          <w:spacing w:val="0"/>
          <w:w w:val="100"/>
          <w:position w:val="0"/>
          <w:shd w:val="clear" w:color="auto" w:fill="auto"/>
          <w:lang w:val="en-US" w:eastAsia="en-US" w:bidi="en-US"/>
        </w:rPr>
        <w:t xml:space="preserve"> i. 466-467). But in the </w:t>
      </w:r>
      <w:r>
        <w:rPr>
          <w:i/>
          <w:iCs/>
          <w:spacing w:val="0"/>
          <w:w w:val="100"/>
          <w:position w:val="0"/>
          <w:shd w:val="clear" w:color="auto" w:fill="auto"/>
          <w:lang w:val="en-US" w:eastAsia="en-US" w:bidi="en-US"/>
        </w:rPr>
        <w:t>Catal. Pat.</w:t>
      </w:r>
      <w:r>
        <w:rPr>
          <w:spacing w:val="0"/>
          <w:w w:val="100"/>
          <w:position w:val="0"/>
          <w:shd w:val="clear" w:color="auto" w:fill="auto"/>
          <w:lang w:val="en-US" w:eastAsia="en-US" w:bidi="en-US"/>
        </w:rPr>
        <w:t xml:space="preserve"> they are more correctly described as “ uterque S. </w:t>
      </w:r>
      <w:r>
        <w:rPr>
          <w:spacing w:val="0"/>
          <w:w w:val="100"/>
          <w:position w:val="0"/>
          <w:shd w:val="clear" w:color="auto" w:fill="auto"/>
          <w:lang w:val="de-DE" w:eastAsia="de-DE" w:bidi="de-DE"/>
        </w:rPr>
        <w:t xml:space="preserve">Johannis </w:t>
      </w:r>
      <w:r>
        <w:rPr>
          <w:spacing w:val="0"/>
          <w:w w:val="100"/>
          <w:position w:val="0"/>
          <w:shd w:val="clear" w:color="auto" w:fill="auto"/>
          <w:lang w:val="la-001" w:eastAsia="la-001" w:bidi="la-001"/>
        </w:rPr>
        <w:t xml:space="preserve">Damasceni </w:t>
      </w:r>
      <w:r>
        <w:rPr>
          <w:spacing w:val="0"/>
          <w:w w:val="100"/>
          <w:position w:val="0"/>
          <w:shd w:val="clear" w:color="auto" w:fill="auto"/>
          <w:lang w:val="fr-FR" w:eastAsia="fr-FR" w:bidi="fr-FR"/>
        </w:rPr>
        <w:t xml:space="preserve">æqualis” (vol. iii. </w:t>
      </w:r>
      <w:r>
        <w:rPr>
          <w:spacing w:val="0"/>
          <w:w w:val="100"/>
          <w:position w:val="0"/>
          <w:shd w:val="clear" w:color="auto" w:fill="auto"/>
          <w:lang w:val="en-US" w:eastAsia="en-US" w:bidi="en-US"/>
        </w:rPr>
        <w:t>255).</w:t>
      </w:r>
    </w:p>
    <w:p>
      <w:pPr>
        <w:pStyle w:val="Style6"/>
        <w:keepNext w:val="0"/>
        <w:keepLines w:val="0"/>
        <w:widowControl w:val="0"/>
        <w:shd w:val="clear" w:color="auto" w:fill="auto"/>
        <w:tabs>
          <w:tab w:pos="335" w:val="left"/>
        </w:tabs>
        <w:bidi w:val="0"/>
        <w:spacing w:line="197"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27</w:t>
        <w:tab/>
      </w:r>
      <w:r>
        <w:rPr>
          <w:spacing w:val="0"/>
          <w:w w:val="100"/>
          <w:position w:val="0"/>
          <w:shd w:val="clear" w:color="auto" w:fill="auto"/>
          <w:lang w:val="en-US" w:eastAsia="en-US" w:bidi="en-US"/>
        </w:rPr>
        <w:t xml:space="preserve">These three are mentioned by Assemani,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 466.</w:t>
      </w:r>
    </w:p>
    <w:p>
      <w:pPr>
        <w:pStyle w:val="Style6"/>
        <w:keepNext w:val="0"/>
        <w:keepLines w:val="0"/>
        <w:widowControl w:val="0"/>
        <w:shd w:val="clear" w:color="auto" w:fill="auto"/>
        <w:tabs>
          <w:tab w:pos="338" w:val="left"/>
        </w:tabs>
        <w:bidi w:val="0"/>
        <w:spacing w:line="197"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28</w:t>
        <w:tab/>
        <w:t xml:space="preserve">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607, col. 2.</w:t>
      </w:r>
    </w:p>
    <w:p>
      <w:pPr>
        <w:pStyle w:val="Style6"/>
        <w:keepNext w:val="0"/>
        <w:keepLines w:val="0"/>
        <w:widowControl w:val="0"/>
        <w:shd w:val="clear" w:color="auto" w:fill="auto"/>
        <w:tabs>
          <w:tab w:pos="277" w:val="left"/>
        </w:tabs>
        <w:bidi w:val="0"/>
        <w:spacing w:line="197"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29</w:t>
        <w:tab/>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95,337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297 ; Baethgen, </w:t>
      </w:r>
      <w:r>
        <w:rPr>
          <w:i/>
          <w:iCs/>
          <w:spacing w:val="0"/>
          <w:w w:val="100"/>
          <w:position w:val="0"/>
          <w:shd w:val="clear" w:color="auto" w:fill="auto"/>
          <w:lang w:val="fr-FR" w:eastAsia="fr-FR" w:bidi="fr-FR"/>
        </w:rPr>
        <w:t xml:space="preserve">Fragmente, </w:t>
      </w:r>
      <w:r>
        <w:rPr>
          <w:spacing w:val="0"/>
          <w:w w:val="100"/>
          <w:position w:val="0"/>
          <w:shd w:val="clear" w:color="auto" w:fill="auto"/>
          <w:lang w:val="en-US" w:eastAsia="en-US" w:bidi="en-US"/>
        </w:rPr>
        <w:t xml:space="preserve">pp. 46,123. Dionysius of </w:t>
      </w:r>
      <w:r>
        <w:rPr>
          <w:rStyle w:val="CharStyle3"/>
          <w:lang w:val="fr-FR" w:eastAsia="fr-FR" w:bidi="fr-FR"/>
        </w:rPr>
        <w:t>Tell-Mahr</w:t>
      </w:r>
      <w:r>
        <w:rPr>
          <w:rStyle w:val="CharStyle3"/>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wrongly places his death some years later, in 729.</w:t>
      </w:r>
    </w:p>
    <w:p>
      <w:pPr>
        <w:pStyle w:val="Style6"/>
        <w:keepNext w:val="0"/>
        <w:keepLines w:val="0"/>
        <w:widowControl w:val="0"/>
        <w:shd w:val="clear" w:color="auto" w:fill="auto"/>
        <w:tabs>
          <w:tab w:pos="1868" w:val="left"/>
        </w:tabs>
        <w:bidi w:val="0"/>
        <w:spacing w:line="197"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 Two MSS. of this work survive, but both imperfect, the one at Rome, Cod. Vat. cxlv.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253), the other in the British Museum, Add. 17197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606).</w:t>
        <w:tab/>
      </w:r>
    </w:p>
    <w:p>
      <w:pPr>
        <w:pStyle w:val="Style6"/>
        <w:keepNext w:val="0"/>
        <w:keepLines w:val="0"/>
        <w:widowControl w:val="0"/>
        <w:shd w:val="clear" w:color="auto" w:fill="auto"/>
        <w:tabs>
          <w:tab w:pos="2048" w:val="left"/>
        </w:tabs>
        <w:bidi w:val="0"/>
        <w:spacing w:line="197"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See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608-612.</w:t>
      </w:r>
    </w:p>
    <w:p>
      <w:pPr>
        <w:pStyle w:val="Style6"/>
        <w:keepNext w:val="0"/>
        <w:keepLines w:val="0"/>
        <w:widowControl w:val="0"/>
        <w:shd w:val="clear" w:color="auto" w:fill="auto"/>
        <w:tabs>
          <w:tab w:pos="342" w:val="left"/>
        </w:tabs>
        <w:bidi w:val="0"/>
        <w:spacing w:line="197"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32</w:t>
        <w:tab/>
      </w:r>
      <w:r>
        <w:rPr>
          <w:spacing w:val="0"/>
          <w:w w:val="100"/>
          <w:position w:val="0"/>
          <w:shd w:val="clear" w:color="auto" w:fill="auto"/>
          <w:lang w:val="de-DE" w:eastAsia="de-DE" w:bidi="de-DE"/>
        </w:rPr>
        <w:t xml:space="preserve">Sachau, </w:t>
      </w:r>
      <w:r>
        <w:rPr>
          <w:i/>
          <w:iCs/>
          <w:spacing w:val="0"/>
          <w:w w:val="100"/>
          <w:position w:val="0"/>
          <w:shd w:val="clear" w:color="auto" w:fill="auto"/>
          <w:lang w:val="la-001" w:eastAsia="la-001" w:bidi="la-001"/>
        </w:rPr>
        <w:t xml:space="preserve">Theodori </w:t>
      </w:r>
      <w:r>
        <w:rPr>
          <w:i/>
          <w:iCs/>
          <w:spacing w:val="0"/>
          <w:w w:val="100"/>
          <w:position w:val="0"/>
          <w:shd w:val="clear" w:color="auto" w:fill="auto"/>
          <w:lang w:val="en-US" w:eastAsia="en-US" w:bidi="en-US"/>
        </w:rPr>
        <w:t xml:space="preserve">Mops. </w:t>
      </w:r>
      <w:r>
        <w:rPr>
          <w:i/>
          <w:iCs/>
          <w:spacing w:val="0"/>
          <w:w w:val="100"/>
          <w:position w:val="0"/>
          <w:shd w:val="clear" w:color="auto" w:fill="auto"/>
          <w:lang w:val="fr-FR" w:eastAsia="fr-FR" w:bidi="fr-FR"/>
        </w:rPr>
        <w:t xml:space="preserve">Fragmenta </w:t>
      </w:r>
      <w:r>
        <w:rPr>
          <w:i/>
          <w:iCs/>
          <w:spacing w:val="0"/>
          <w:w w:val="100"/>
          <w:position w:val="0"/>
          <w:shd w:val="clear" w:color="auto" w:fill="auto"/>
          <w:lang w:val="en-US" w:eastAsia="en-US" w:bidi="en-US"/>
        </w:rPr>
        <w:t>Syr.,</w:t>
      </w:r>
      <w:r>
        <w:rPr>
          <w:spacing w:val="0"/>
          <w:w w:val="100"/>
          <w:position w:val="0"/>
          <w:shd w:val="clear" w:color="auto" w:fill="auto"/>
          <w:lang w:val="en-US" w:eastAsia="en-US" w:bidi="en-US"/>
        </w:rPr>
        <w:t xml:space="preserve"> pp. 101 and 62.</w:t>
      </w:r>
    </w:p>
    <w:p>
      <w:pPr>
        <w:pStyle w:val="Style6"/>
        <w:keepNext w:val="0"/>
        <w:keepLines w:val="0"/>
        <w:widowControl w:val="0"/>
        <w:shd w:val="clear" w:color="auto" w:fill="auto"/>
        <w:tabs>
          <w:tab w:pos="284" w:val="left"/>
        </w:tabs>
        <w:bidi w:val="0"/>
        <w:spacing w:line="197"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33</w:t>
        <w:tab/>
      </w:r>
      <w:r>
        <w:rPr>
          <w:spacing w:val="0"/>
          <w:w w:val="100"/>
          <w:position w:val="0"/>
          <w:shd w:val="clear" w:color="auto" w:fill="auto"/>
          <w:lang w:val="en-US" w:eastAsia="en-US" w:bidi="en-US"/>
        </w:rPr>
        <w:t xml:space="preserve">The words of George of Beth </w:t>
      </w:r>
      <w:r>
        <w:rPr>
          <w:spacing w:val="0"/>
          <w:w w:val="100"/>
          <w:position w:val="0"/>
          <w:shd w:val="clear" w:color="auto" w:fill="auto"/>
          <w:lang w:val="fr-FR" w:eastAsia="fr-FR" w:bidi="fr-FR"/>
        </w:rPr>
        <w:t xml:space="preserve">Nēkē, </w:t>
      </w:r>
      <w:r>
        <w:rPr>
          <w:i/>
          <w:iCs/>
          <w:spacing w:val="0"/>
          <w:w w:val="100"/>
          <w:position w:val="0"/>
          <w:shd w:val="clear" w:color="auto" w:fill="auto"/>
          <w:lang w:val="fr-FR" w:eastAsia="fr-FR" w:bidi="fr-FR"/>
        </w:rPr>
        <w:t>bubhānā dhē-dhogmā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(Wright, </w:t>
      </w:r>
      <w:r>
        <w:rPr>
          <w:i/>
          <w:iCs/>
          <w:spacing w:val="0"/>
          <w:w w:val="100"/>
          <w:position w:val="0"/>
          <w:shd w:val="clear" w:color="auto" w:fill="auto"/>
          <w:lang w:val="en-US" w:eastAsia="en-US" w:bidi="en-US"/>
        </w:rPr>
        <w:t xml:space="preserve">Catal., </w:t>
      </w:r>
      <w:r>
        <w:rPr>
          <w:spacing w:val="0"/>
          <w:w w:val="100"/>
          <w:position w:val="0"/>
          <w:shd w:val="clear" w:color="auto" w:fill="auto"/>
          <w:lang w:val="en-US" w:eastAsia="en-US" w:bidi="en-US"/>
        </w:rPr>
        <w:t xml:space="preserve">p. 611, col. 2), probably refer to the liturgical disputes which arose among the Jacobites about this time </w:t>
      </w:r>
      <w:r>
        <w:rPr>
          <w:i/>
          <w:iCs/>
          <w:spacing w:val="0"/>
          <w:w w:val="100"/>
          <w:position w:val="0"/>
          <w:shd w:val="clear" w:color="auto" w:fill="auto"/>
          <w:lang w:val="en-US" w:eastAsia="en-US" w:bidi="en-US"/>
        </w:rPr>
        <w:t>(B. O.</w:t>
      </w:r>
      <w:r>
        <w:rPr>
          <w:spacing w:val="0"/>
          <w:w w:val="100"/>
          <w:position w:val="0"/>
          <w:shd w:val="clear" w:color="auto" w:fill="auto"/>
          <w:lang w:val="en-US" w:eastAsia="en-US" w:bidi="en-US"/>
        </w:rPr>
        <w:t xml:space="preserve"> ii. 341) and attained considerable importance a little later (p. 343). See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331.</w:t>
      </w:r>
    </w:p>
    <w:p>
      <w:pPr>
        <w:pStyle w:val="Style6"/>
        <w:keepNext w:val="0"/>
        <w:keepLines w:val="0"/>
        <w:widowControl w:val="0"/>
        <w:shd w:val="clear" w:color="auto" w:fill="auto"/>
        <w:tabs>
          <w:tab w:pos="342" w:val="left"/>
        </w:tabs>
        <w:bidi w:val="0"/>
        <w:spacing w:line="197"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34</w:t>
        <w:tab/>
      </w:r>
      <w:r>
        <w:rPr>
          <w:spacing w:val="0"/>
          <w:w w:val="100"/>
          <w:position w:val="0"/>
          <w:shd w:val="clear" w:color="auto" w:fill="auto"/>
          <w:lang w:val="en-US" w:eastAsia="en-US" w:bidi="en-US"/>
        </w:rPr>
        <w:t xml:space="preserve">See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1184.</w:t>
      </w:r>
    </w:p>
    <w:p>
      <w:pPr>
        <w:pStyle w:val="Style6"/>
        <w:keepNext w:val="0"/>
        <w:keepLines w:val="0"/>
        <w:widowControl w:val="0"/>
        <w:shd w:val="clear" w:color="auto" w:fill="auto"/>
        <w:tabs>
          <w:tab w:pos="338" w:val="left"/>
        </w:tabs>
        <w:bidi w:val="0"/>
        <w:spacing w:line="197"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35</w:t>
        <w:tab/>
      </w:r>
      <w:r>
        <w:rPr>
          <w:spacing w:val="0"/>
          <w:w w:val="100"/>
          <w:position w:val="0"/>
          <w:shd w:val="clear" w:color="auto" w:fill="auto"/>
          <w:lang w:val="en-US" w:eastAsia="en-US" w:bidi="en-US"/>
        </w:rPr>
        <w:t xml:space="preserve">See Baethgen, </w:t>
      </w:r>
      <w:r>
        <w:rPr>
          <w:i/>
          <w:iCs/>
          <w:spacing w:val="0"/>
          <w:w w:val="100"/>
          <w:position w:val="0"/>
          <w:shd w:val="clear" w:color="auto" w:fill="auto"/>
          <w:lang w:val="fr-FR" w:eastAsia="fr-FR" w:bidi="fr-FR"/>
        </w:rPr>
        <w:t>Fragmente,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 2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Ecdes.,</w:t>
      </w:r>
      <w:r>
        <w:rPr>
          <w:spacing w:val="0"/>
          <w:w w:val="100"/>
          <w:position w:val="0"/>
          <w:shd w:val="clear" w:color="auto" w:fill="auto"/>
          <w:lang w:val="en-US" w:eastAsia="en-US" w:bidi="en-US"/>
        </w:rPr>
        <w:t xml:space="preserve"> ii. 152, note 2.</w:t>
      </w:r>
    </w:p>
    <w:p>
      <w:pPr>
        <w:pStyle w:val="Style6"/>
        <w:keepNext w:val="0"/>
        <w:keepLines w:val="0"/>
        <w:widowControl w:val="0"/>
        <w:shd w:val="clear" w:color="auto" w:fill="auto"/>
        <w:tabs>
          <w:tab w:pos="338" w:val="left"/>
        </w:tabs>
        <w:bidi w:val="0"/>
        <w:spacing w:line="197"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36</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521 ; </w:t>
      </w:r>
      <w:r>
        <w:rPr>
          <w:spacing w:val="0"/>
          <w:w w:val="100"/>
          <w:position w:val="0"/>
          <w:shd w:val="clear" w:color="auto" w:fill="auto"/>
          <w:lang w:val="fr-FR" w:eastAsia="fr-FR" w:bidi="fr-FR"/>
        </w:rPr>
        <w:t xml:space="preserve">Cardāliī, </w:t>
      </w:r>
      <w:r>
        <w:rPr>
          <w:i/>
          <w:iCs/>
          <w:spacing w:val="0"/>
          <w:w w:val="100"/>
          <w:position w:val="0"/>
          <w:shd w:val="clear" w:color="auto" w:fill="auto"/>
          <w:lang w:val="en-US" w:eastAsia="en-US" w:bidi="en-US"/>
        </w:rPr>
        <w:t>Liber Thesauri,</w:t>
      </w:r>
      <w:r>
        <w:rPr>
          <w:spacing w:val="0"/>
          <w:w w:val="100"/>
          <w:position w:val="0"/>
          <w:shd w:val="clear" w:color="auto" w:fill="auto"/>
          <w:lang w:val="en-US" w:eastAsia="en-US" w:bidi="en-US"/>
        </w:rPr>
        <w:t xml:space="preserve"> p. 39.</w:t>
      </w:r>
    </w:p>
    <w:p>
      <w:pPr>
        <w:pStyle w:val="Style6"/>
        <w:keepNext w:val="0"/>
        <w:keepLines w:val="0"/>
        <w:widowControl w:val="0"/>
        <w:shd w:val="clear" w:color="auto" w:fill="auto"/>
        <w:tabs>
          <w:tab w:pos="346" w:val="left"/>
          <w:tab w:pos="2693" w:val="left"/>
        </w:tabs>
        <w:bidi w:val="0"/>
        <w:spacing w:line="197"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37</w:t>
        <w:tab/>
      </w:r>
      <w:r>
        <w:rPr>
          <w:i/>
          <w:iCs/>
          <w:spacing w:val="0"/>
          <w:w w:val="100"/>
          <w:position w:val="0"/>
          <w:shd w:val="clear" w:color="auto" w:fill="auto"/>
          <w:lang w:val="en-US" w:eastAsia="en-US" w:bidi="en-US"/>
        </w:rPr>
        <w:t>Hist. Dynast.,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218 </w:t>
      </w:r>
      <w:r>
        <w:rPr>
          <w:spacing w:val="0"/>
          <w:w w:val="100"/>
          <w:position w:val="0"/>
          <w:shd w:val="clear" w:color="auto" w:fill="auto"/>
          <w:lang w:val="fr-FR" w:eastAsia="fr-FR" w:bidi="fr-FR"/>
        </w:rPr>
        <w:t xml:space="preserve">(transi., </w:t>
      </w:r>
      <w:r>
        <w:rPr>
          <w:spacing w:val="0"/>
          <w:w w:val="100"/>
          <w:position w:val="0"/>
          <w:shd w:val="clear" w:color="auto" w:fill="auto"/>
          <w:lang w:val="en-US" w:eastAsia="en-US" w:bidi="en-US"/>
        </w:rPr>
        <w:t>p. 147).</w:t>
        <w:tab/>
      </w:r>
    </w:p>
    <w:p>
      <w:pPr>
        <w:pStyle w:val="Style6"/>
        <w:keepNext w:val="0"/>
        <w:keepLines w:val="0"/>
        <w:widowControl w:val="0"/>
        <w:shd w:val="clear" w:color="auto" w:fill="auto"/>
        <w:tabs>
          <w:tab w:pos="346" w:val="left"/>
          <w:tab w:pos="2693" w:val="left"/>
        </w:tabs>
        <w:bidi w:val="0"/>
        <w:spacing w:line="197"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38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98 </w:t>
      </w:r>
      <w:r>
        <w:rPr>
          <w:spacing w:val="0"/>
          <w:w w:val="100"/>
          <w:position w:val="0"/>
          <w:shd w:val="clear" w:color="auto" w:fill="auto"/>
          <w:lang w:val="fr-FR" w:eastAsia="fr-FR" w:bidi="fr-FR"/>
        </w:rPr>
        <w:t xml:space="preserve">(transi., </w:t>
      </w:r>
      <w:r>
        <w:rPr>
          <w:spacing w:val="0"/>
          <w:w w:val="100"/>
          <w:position w:val="0"/>
          <w:shd w:val="clear" w:color="auto" w:fill="auto"/>
          <w:lang w:val="en-US" w:eastAsia="en-US" w:bidi="en-US"/>
        </w:rPr>
        <w:t>p. 63).</w:t>
      </w:r>
    </w:p>
    <w:p>
      <w:pPr>
        <w:pStyle w:val="Style6"/>
        <w:keepNext w:val="0"/>
        <w:keepLines w:val="0"/>
        <w:widowControl w:val="0"/>
        <w:shd w:val="clear" w:color="auto" w:fill="auto"/>
        <w:bidi w:val="0"/>
        <w:spacing w:line="197"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39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228 </w:t>
      </w:r>
      <w:r>
        <w:rPr>
          <w:spacing w:val="0"/>
          <w:w w:val="100"/>
          <w:position w:val="0"/>
          <w:shd w:val="clear" w:color="auto" w:fill="auto"/>
          <w:lang w:val="la-001" w:eastAsia="la-001" w:bidi="la-001"/>
        </w:rPr>
        <w:t xml:space="preserve">(transi., </w:t>
      </w:r>
      <w:r>
        <w:rPr>
          <w:spacing w:val="0"/>
          <w:w w:val="100"/>
          <w:position w:val="0"/>
          <w:shd w:val="clear" w:color="auto" w:fill="auto"/>
          <w:lang w:val="en-US" w:eastAsia="en-US" w:bidi="en-US"/>
        </w:rPr>
        <w:t xml:space="preserve">p. 148). Also at p. 40 </w:t>
      </w:r>
      <w:r>
        <w:rPr>
          <w:spacing w:val="0"/>
          <w:w w:val="100"/>
          <w:position w:val="0"/>
          <w:shd w:val="clear" w:color="auto" w:fill="auto"/>
          <w:lang w:val="fr-FR" w:eastAsia="fr-FR" w:bidi="fr-FR"/>
        </w:rPr>
        <w:t xml:space="preserve">(transi., </w:t>
      </w:r>
      <w:r>
        <w:rPr>
          <w:spacing w:val="0"/>
          <w:w w:val="100"/>
          <w:position w:val="0"/>
          <w:shd w:val="clear" w:color="auto" w:fill="auto"/>
          <w:lang w:val="en-US" w:eastAsia="en-US" w:bidi="en-US"/>
        </w:rPr>
        <w:t xml:space="preserve">p. 26) </w:t>
      </w:r>
      <w:r>
        <w:rPr>
          <w:spacing w:val="0"/>
          <w:w w:val="100"/>
          <w:position w:val="0"/>
          <w:shd w:val="clear" w:color="auto" w:fill="auto"/>
          <w:lang w:val="fr-FR" w:eastAsia="fr-FR" w:bidi="fr-FR"/>
        </w:rPr>
        <w:t>Bar-Hebræus</w:t>
      </w:r>
    </w:p>
    <w:p>
      <w:pPr>
        <w:pStyle w:val="Style6"/>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 xml:space="preserve">says that “the poet Homer bewailed her (fall) in two books, which Theophilus the astrologer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translated from Greek into Syriac.”</w:t>
      </w:r>
    </w:p>
    <w:p>
      <w:pPr>
        <w:widowControl w:val="0"/>
        <w:spacing w:line="1" w:lineRule="exact"/>
      </w:pPr>
    </w:p>
    <w:sectPr>
      <w:footnotePr>
        <w:pos w:val="pageBottom"/>
        <w:numFmt w:val="decimal"/>
        <w:numRestart w:val="continuous"/>
      </w:footnotePr>
      <w:type w:val="continuous"/>
      <w:pgSz w:w="12240" w:h="16840"/>
      <w:pgMar w:top="1334" w:left="1622" w:right="1244" w:bottom="13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6">
    <w:name w:val="Body text (5)"/>
    <w:basedOn w:val="Normal"/>
    <w:link w:val="CharStyle7"/>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