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 1231 and died in 1241,</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on his way to visit the aged patriarch Ignatius </w:t>
      </w:r>
      <w:r>
        <w:rPr>
          <w:spacing w:val="0"/>
          <w:w w:val="100"/>
          <w:position w:val="0"/>
          <w:shd w:val="clear" w:color="auto" w:fill="auto"/>
          <w:lang w:val="fr-FR" w:eastAsia="fr-FR" w:bidi="fr-FR"/>
        </w:rPr>
        <w:t xml:space="preserve">II. (maphriān </w:t>
      </w:r>
      <w:r>
        <w:rPr>
          <w:spacing w:val="0"/>
          <w:w w:val="100"/>
          <w:position w:val="0"/>
          <w:shd w:val="clear" w:color="auto" w:fill="auto"/>
          <w:lang w:val="en-US" w:eastAsia="en-US" w:bidi="en-US"/>
        </w:rPr>
        <w:t xml:space="preserve">1215-22, patriarch 1222-53). He possessed a great many books, which were all conveyed to the </w:t>
      </w:r>
      <w:r>
        <w:rPr>
          <w:i/>
          <w:iCs/>
          <w:spacing w:val="0"/>
          <w:w w:val="100"/>
          <w:position w:val="0"/>
          <w:shd w:val="clear" w:color="auto" w:fill="auto"/>
          <w:lang w:val="fr-FR" w:eastAsia="fr-FR" w:bidi="fr-FR"/>
        </w:rPr>
        <w:t>dēmosion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of the ruler of Mosul. His works are as follows. (1) The </w:t>
      </w:r>
      <w:r>
        <w:rPr>
          <w:i/>
          <w:iCs/>
          <w:spacing w:val="0"/>
          <w:w w:val="100"/>
          <w:position w:val="0"/>
          <w:shd w:val="clear" w:color="auto" w:fill="auto"/>
          <w:lang w:val="en-US" w:eastAsia="en-US" w:bidi="en-US"/>
        </w:rPr>
        <w:t>Book of Treasures,</w:t>
      </w:r>
      <w:r>
        <w:rPr>
          <w:spacing w:val="0"/>
          <w:w w:val="100"/>
          <w:position w:val="0"/>
          <w:shd w:val="clear" w:color="auto" w:fill="auto"/>
          <w:lang w:val="en-US" w:eastAsia="en-US" w:bidi="en-US"/>
        </w:rPr>
        <w:t xml:space="preserve"> a theological treatise in four parts, viz., part i., of the three-one God; part ii., of the incarnation of the Son of God; part iii., of the Divine Providence; part iv., of the creation of the universe, the angels, the different kinds of life, the soul of man, the resurrection, and the last judgement.</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(2) The </w:t>
      </w:r>
      <w:r>
        <w:rPr>
          <w:i/>
          <w:iCs/>
          <w:spacing w:val="0"/>
          <w:w w:val="100"/>
          <w:position w:val="0"/>
          <w:shd w:val="clear" w:color="auto" w:fill="auto"/>
          <w:lang w:val="en-US" w:eastAsia="en-US" w:bidi="en-US"/>
        </w:rPr>
        <w:t>Dialogτtes,</w:t>
      </w:r>
      <w:r>
        <w:rPr>
          <w:spacing w:val="0"/>
          <w:w w:val="100"/>
          <w:position w:val="0"/>
          <w:shd w:val="clear" w:color="auto" w:fill="auto"/>
          <w:lang w:val="en-US" w:eastAsia="en-US" w:bidi="en-US"/>
        </w:rPr>
        <w:t xml:space="preserve"> in two hooks. Book i., dial. 1, on grammar, followed by a discourse on the same in twelve-syllable metre ; dial. 2, on rhetoric ; dial. 3, on the art of poetry or metres ; dial. 4, on the eloquence and copiousness of the Syriac language. Book ii., dial. 1, on logic and the syl</w:t>
        <w:softHyphen/>
        <w:t>logism ; dial. 2, on philosophy, its kinds, divisions, and subdivisions, in five sections, viz.,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on the definitions of philosophy, its divi</w:t>
        <w:softHyphen/>
        <w:t>sions, &amp;c.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on the philosophic life and conduct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on physics or physiology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on the four disciplines,—arithmetic, music, geo</w:t>
        <w:softHyphen/>
        <w:t>metry, and mathematics ;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on metaphysics and theology.</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Of his letters two are extant, in verse, addressed to Faklιr ad-Daulah Mark bar Thomas and his brother </w:t>
      </w:r>
      <w:r>
        <w:rPr>
          <w:spacing w:val="0"/>
          <w:w w:val="100"/>
          <w:position w:val="0"/>
          <w:shd w:val="clear" w:color="auto" w:fill="auto"/>
          <w:lang w:val="fr-FR" w:eastAsia="fr-FR" w:bidi="fr-FR"/>
        </w:rPr>
        <w:t xml:space="preserve">Tāj </w:t>
      </w:r>
      <w:r>
        <w:rPr>
          <w:spacing w:val="0"/>
          <w:w w:val="100"/>
          <w:position w:val="0"/>
          <w:shd w:val="clear" w:color="auto" w:fill="auto"/>
          <w:lang w:val="en-US" w:eastAsia="en-US" w:bidi="en-US"/>
        </w:rPr>
        <w:t xml:space="preserve">ad-Daulah </w:t>
      </w:r>
      <w:r>
        <w:rPr>
          <w:spacing w:val="0"/>
          <w:w w:val="100"/>
          <w:position w:val="0"/>
          <w:shd w:val="clear" w:color="auto" w:fill="auto"/>
          <w:lang w:val="fr-FR" w:eastAsia="fr-FR" w:bidi="fr-FR"/>
        </w:rPr>
        <w:t xml:space="preserve">Abu </w:t>
      </w:r>
      <w:r>
        <w:rPr>
          <w:spacing w:val="0"/>
          <w:w w:val="100"/>
          <w:position w:val="0"/>
          <w:shd w:val="clear" w:color="auto" w:fill="auto"/>
          <w:lang w:val="en-US" w:eastAsia="en-US" w:bidi="en-US"/>
        </w:rPr>
        <w:t>Tahir Sa'id.</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He also wrote a confession of faith regarding the Trinity and the incarnation, which he himself cites in the </w:t>
      </w:r>
      <w:r>
        <w:rPr>
          <w:i/>
          <w:iCs/>
          <w:spacing w:val="0"/>
          <w:w w:val="100"/>
          <w:position w:val="0"/>
          <w:shd w:val="clear" w:color="auto" w:fill="auto"/>
          <w:lang w:val="en-US" w:eastAsia="en-US" w:bidi="en-US"/>
        </w:rPr>
        <w:t>Book of Treasures,</w:t>
      </w:r>
      <w:r>
        <w:rPr>
          <w:spacing w:val="0"/>
          <w:w w:val="100"/>
          <w:position w:val="0"/>
          <w:shd w:val="clear" w:color="auto" w:fill="auto"/>
          <w:lang w:val="en-US" w:eastAsia="en-US" w:bidi="en-US"/>
        </w:rPr>
        <w:t xml:space="preserve"> part ii., chap. 14, and an exposition of the services and prayers of the church, which is referred to in the same work, part, ii., chap. 31 (on the addition of the words “ who was crucified for us ” to the Trisagion).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Under the name of Jacob of Maiperkat we have an admonition addressed to persons seeking ordination as priests, which is found in many service books.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Aaron bar Ma'dani (or </w:t>
      </w:r>
      <w:r>
        <w:rPr>
          <w:spacing w:val="0"/>
          <w:w w:val="100"/>
          <w:position w:val="0"/>
          <w:shd w:val="clear" w:color="auto" w:fill="auto"/>
          <w:lang w:val="fr-FR" w:eastAsia="fr-FR" w:bidi="fr-FR"/>
        </w:rPr>
        <w:t xml:space="preserve">Ma'dānī </w:t>
      </w:r>
      <w:r>
        <w:rPr>
          <w:spacing w:val="0"/>
          <w:w w:val="100"/>
          <w:position w:val="0"/>
          <w:shd w:val="clear" w:color="auto" w:fill="auto"/>
          <w:lang w:val="en-US" w:eastAsia="en-US" w:bidi="en-US"/>
        </w:rPr>
        <w:t xml:space="preserve">?) had been recently appointed bishop of </w:t>
      </w:r>
      <w:r>
        <w:rPr>
          <w:spacing w:val="0"/>
          <w:w w:val="100"/>
          <w:position w:val="0"/>
          <w:shd w:val="clear" w:color="auto" w:fill="auto"/>
          <w:lang w:val="fr-FR" w:eastAsia="fr-FR" w:bidi="fr-FR"/>
        </w:rPr>
        <w:t>Mardi</w:t>
      </w:r>
      <w:r>
        <w:rPr>
          <w:spacing w:val="0"/>
          <w:w w:val="100"/>
          <w:position w:val="0"/>
          <w:shd w:val="clear" w:color="auto" w:fill="auto"/>
          <w:lang w:val="en-US" w:eastAsia="en-US" w:bidi="en-US"/>
        </w:rPr>
        <w:t xml:space="preserve">n, Under the name of John, when he was promoted by the patriarch Ignatius II. to the dignity of </w:t>
      </w:r>
      <w:r>
        <w:rPr>
          <w:spacing w:val="0"/>
          <w:w w:val="100"/>
          <w:position w:val="0"/>
          <w:shd w:val="clear" w:color="auto" w:fill="auto"/>
          <w:lang w:val="fr-FR" w:eastAsia="fr-FR" w:bidi="fr-FR"/>
        </w:rPr>
        <w:t xml:space="preserve">maphriān </w:t>
      </w:r>
      <w:r>
        <w:rPr>
          <w:spacing w:val="0"/>
          <w:w w:val="100"/>
          <w:position w:val="0"/>
          <w:shd w:val="clear" w:color="auto" w:fill="auto"/>
          <w:lang w:val="en-US" w:eastAsia="en-US" w:bidi="en-US"/>
        </w:rPr>
        <w:t>in 1232.</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8 </w:t>
      </w:r>
      <w:r>
        <w:rPr>
          <w:spacing w:val="0"/>
          <w:w w:val="100"/>
          <w:position w:val="0"/>
          <w:shd w:val="clear" w:color="auto" w:fill="auto"/>
          <w:lang w:val="en-US" w:eastAsia="en-US" w:bidi="en-US"/>
        </w:rPr>
        <w:t>His bodily presence seems to have been somewhat insignificant, and he was no orator, for which reasons he was unpopular.</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1237 he went to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where in the following year he composed his panegyric on the holy Mar Aaron, and ingratiated himself with the three brothers Shams ad-Daulah, Fakhr ad-Daulah, and </w:t>
      </w:r>
      <w:r>
        <w:rPr>
          <w:spacing w:val="0"/>
          <w:w w:val="100"/>
          <w:position w:val="0"/>
          <w:shd w:val="clear" w:color="auto" w:fill="auto"/>
          <w:lang w:val="fr-FR" w:eastAsia="fr-FR" w:bidi="fr-FR"/>
        </w:rPr>
        <w:t xml:space="preserve">Tāj </w:t>
      </w:r>
      <w:r>
        <w:rPr>
          <w:spacing w:val="0"/>
          <w:w w:val="100"/>
          <w:position w:val="0"/>
          <w:shd w:val="clear" w:color="auto" w:fill="auto"/>
          <w:lang w:val="en-US" w:eastAsia="en-US" w:bidi="en-US"/>
        </w:rPr>
        <w:t xml:space="preserve">ad- Daulah, the sons of the </w:t>
      </w:r>
      <w:r>
        <w:rPr>
          <w:spacing w:val="0"/>
          <w:w w:val="100"/>
          <w:position w:val="0"/>
          <w:shd w:val="clear" w:color="auto" w:fill="auto"/>
          <w:lang w:val="la-001" w:eastAsia="la-001" w:bidi="la-001"/>
        </w:rPr>
        <w:t xml:space="preserve">archiater </w:t>
      </w:r>
      <w:r>
        <w:rPr>
          <w:spacing w:val="0"/>
          <w:w w:val="100"/>
          <w:position w:val="0"/>
          <w:shd w:val="clear" w:color="auto" w:fill="auto"/>
          <w:lang w:val="en-US" w:eastAsia="en-US" w:bidi="en-US"/>
        </w:rPr>
        <w:t xml:space="preserve">Thomas, who were in high favour at the court of al-Mustansir </w:t>
      </w:r>
      <w:r>
        <w:rPr>
          <w:spacing w:val="0"/>
          <w:w w:val="100"/>
          <w:position w:val="0"/>
          <w:shd w:val="clear" w:color="auto" w:fill="auto"/>
          <w:lang w:val="fr-FR" w:eastAsia="fr-FR" w:bidi="fr-FR"/>
        </w:rPr>
        <w:t xml:space="preserve">bi’llāh. </w:t>
      </w:r>
      <w:r>
        <w:rPr>
          <w:spacing w:val="0"/>
          <w:w w:val="100"/>
          <w:position w:val="0"/>
          <w:shd w:val="clear" w:color="auto" w:fill="auto"/>
          <w:lang w:val="en-US" w:eastAsia="en-US" w:bidi="en-US"/>
        </w:rPr>
        <w:t>He learned to speak and write Arabic thoroughly.</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In </w:t>
      </w:r>
      <w:r>
        <w:rPr>
          <w:spacing w:val="0"/>
          <w:w w:val="100"/>
          <w:position w:val="0"/>
          <w:shd w:val="clear" w:color="auto" w:fill="auto"/>
          <w:lang w:val="fr-FR" w:eastAsia="fr-FR" w:bidi="fr-FR"/>
        </w:rPr>
        <w:t xml:space="preserve">ī244 </w:t>
      </w:r>
      <w:r>
        <w:rPr>
          <w:spacing w:val="0"/>
          <w:w w:val="100"/>
          <w:position w:val="0"/>
          <w:shd w:val="clear" w:color="auto" w:fill="auto"/>
          <w:lang w:val="en-US" w:eastAsia="en-US" w:bidi="en-US"/>
        </w:rPr>
        <w:t>he was recalled to Mosul and received with every mark of respect.</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On the death of Ignatius in 1252, Dionysius (Aaron 'Angι^ir) was created patriarch,</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but a rival faction set up John bar Ma'dani</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 and so the two ruled in a divided church till Dionysius was murdered in the convent of </w:t>
      </w:r>
      <w:r>
        <w:rPr>
          <w:spacing w:val="0"/>
          <w:w w:val="100"/>
          <w:position w:val="0"/>
          <w:shd w:val="clear" w:color="auto" w:fill="auto"/>
          <w:lang w:val="fr-FR" w:eastAsia="fr-FR" w:bidi="fr-FR"/>
        </w:rPr>
        <w:t xml:space="preserve">Bar-saumā </w:t>
      </w:r>
      <w:r>
        <w:rPr>
          <w:spacing w:val="0"/>
          <w:w w:val="100"/>
          <w:position w:val="0"/>
          <w:shd w:val="clear" w:color="auto" w:fill="auto"/>
          <w:lang w:val="en-US" w:eastAsia="en-US" w:bidi="en-US"/>
        </w:rPr>
        <w:t xml:space="preserve">near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in 1261,</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after which time his rival sat alone till 1263.</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15 </w:t>
      </w:r>
      <w:r>
        <w:rPr>
          <w:spacing w:val="0"/>
          <w:w w:val="100"/>
          <w:position w:val="0"/>
          <w:shd w:val="clear" w:color="auto" w:fill="auto"/>
          <w:lang w:val="en-US" w:eastAsia="en-US" w:bidi="en-US"/>
        </w:rPr>
        <w:t>John bar Ma'dani compiled an anaphora</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and wrote a great many poems, of which Bodl. Hunt. 1 contains no less than 60.</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Some of the more important of these are the poem on the soul, entitled “the Bird” </w:t>
      </w:r>
      <w:r>
        <w:rPr>
          <w:i/>
          <w:iCs/>
          <w:spacing w:val="0"/>
          <w:w w:val="100"/>
          <w:position w:val="0"/>
          <w:shd w:val="clear" w:color="auto" w:fill="auto"/>
          <w:lang w:val="fr-FR" w:eastAsia="fr-FR" w:bidi="fr-FR"/>
        </w:rPr>
        <w:t>(Pāra/iéthā),</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fr-FR" w:eastAsia="fr-FR" w:bidi="fr-FR"/>
        </w:rPr>
        <w:t>19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on the high origin of the soul and its degradation by sin,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on the excellent path of the perfect,</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and on the capture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other places by the </w:t>
      </w:r>
      <w:r>
        <w:rPr>
          <w:spacing w:val="0"/>
          <w:w w:val="100"/>
          <w:position w:val="0"/>
          <w:shd w:val="clear" w:color="auto" w:fill="auto"/>
          <w:lang w:val="fr-FR" w:eastAsia="fr-FR" w:bidi="fr-FR"/>
        </w:rPr>
        <w:t xml:space="preserve">Seljūk sultān 'Alā’u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d-din </w:t>
      </w:r>
      <w:r>
        <w:rPr>
          <w:spacing w:val="0"/>
          <w:w w:val="100"/>
          <w:position w:val="0"/>
          <w:shd w:val="clear" w:color="auto" w:fill="auto"/>
          <w:lang w:val="fr-FR" w:eastAsia="fr-FR" w:bidi="fr-FR"/>
        </w:rPr>
        <w:t xml:space="preserve">Kaikobādh </w:t>
      </w:r>
      <w:r>
        <w:rPr>
          <w:spacing w:val="0"/>
          <w:w w:val="100"/>
          <w:position w:val="0"/>
          <w:shd w:val="clear" w:color="auto" w:fill="auto"/>
          <w:lang w:val="en-US" w:eastAsia="en-US" w:bidi="en-US"/>
        </w:rPr>
        <w:t>in 1235.</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Of his homilies Cod. Vat. xcvii. contains eighteen for various feasts in Arabic.</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These writers are, however, all cast into the shade by the impos</w:t>
        <w:softHyphen/>
        <w:t xml:space="preserve">ing figure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as we are accustomed to call him, one of the most learned and versatile men that Syria ever produced.</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23 </w:t>
      </w:r>
      <w:r>
        <w:rPr>
          <w:spacing w:val="0"/>
          <w:w w:val="100"/>
          <w:position w:val="0"/>
          <w:shd w:val="clear" w:color="auto" w:fill="auto"/>
          <w:lang w:val="en-US" w:eastAsia="en-US" w:bidi="en-US"/>
        </w:rPr>
        <w:t xml:space="preserve">Abu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1-Faraj Gregory</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was the child of a physician at </w:t>
      </w:r>
      <w:r>
        <w:rPr>
          <w:spacing w:val="0"/>
          <w:w w:val="100"/>
          <w:position w:val="0"/>
          <w:shd w:val="clear" w:color="auto" w:fill="auto"/>
          <w:lang w:val="fr-FR" w:eastAsia="fr-FR" w:bidi="fr-FR"/>
        </w:rPr>
        <w:t xml:space="preserve">Melitēne </w:t>
      </w:r>
      <w:r>
        <w:rPr>
          <w:spacing w:val="0"/>
          <w:w w:val="100"/>
          <w:position w:val="0"/>
          <w:shd w:val="clear" w:color="auto" w:fill="auto"/>
          <w:lang w:val="de-DE" w:eastAsia="de-DE" w:bidi="de-DE"/>
        </w:rPr>
        <w:t xml:space="preserve">(Malatiah) </w:t>
      </w:r>
      <w:r>
        <w:rPr>
          <w:spacing w:val="0"/>
          <w:w w:val="100"/>
          <w:position w:val="0"/>
          <w:shd w:val="clear" w:color="auto" w:fill="auto"/>
          <w:lang w:val="en-US" w:eastAsia="en-US" w:bidi="en-US"/>
        </w:rPr>
        <w:t xml:space="preserve">named Aaron, a convert from Judaism or of Jewish descent, whence his son got the name of Bar </w:t>
      </w:r>
      <w:r>
        <w:rPr>
          <w:spacing w:val="0"/>
          <w:w w:val="100"/>
          <w:position w:val="0"/>
          <w:shd w:val="clear" w:color="auto" w:fill="auto"/>
          <w:lang w:val="fr-FR" w:eastAsia="fr-FR" w:bidi="fr-FR"/>
        </w:rPr>
        <w:t xml:space="preserve">'Ebhrāyā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Ihn </w:t>
      </w:r>
      <w:r>
        <w:rPr>
          <w:spacing w:val="0"/>
          <w:w w:val="100"/>
          <w:position w:val="0"/>
          <w:shd w:val="clear" w:color="auto" w:fill="auto"/>
          <w:lang w:val="en-US" w:eastAsia="en-US" w:bidi="en-US"/>
        </w:rPr>
        <w:t>al-</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'Ibri, “the son of the Hebrew.” He was born in 1226,</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de</w:t>
        <w:softHyphen/>
        <w:t xml:space="preserve">voted himself from his boyhood to the acquisition of Greek and Arabic. A little later he applied himself also to theology and philosophy, besides practising medicine under his father and other distinguished physicians. His lot was cast, however, in evil days. In 1243 many of the inhabitants of Malatiah fled to Aleppo before the advancing hordes of </w:t>
      </w:r>
      <w:r>
        <w:rPr>
          <w:spacing w:val="0"/>
          <w:w w:val="100"/>
          <w:position w:val="0"/>
          <w:shd w:val="clear" w:color="auto" w:fill="auto"/>
          <w:lang w:val="fr-FR" w:eastAsia="fr-FR" w:bidi="fr-FR"/>
        </w:rPr>
        <w:t xml:space="preserve">Hulāgū </w:t>
      </w:r>
      <w:r>
        <w:rPr>
          <w:spacing w:val="0"/>
          <w:w w:val="100"/>
          <w:position w:val="0"/>
          <w:shd w:val="clear" w:color="auto" w:fill="auto"/>
          <w:lang w:val="en-US" w:eastAsia="en-US" w:bidi="en-US"/>
        </w:rPr>
        <w:t>and his Tatars, and his father would have been among the fugitives, had it not been for a lucky accident.</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In the following year his father had actually to attend as physician upon one of the Tatar generals, whom he accompanied to Khartabirt, and on his return retired almost immediately from Malatiah to the safer city of Antioch.</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Here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com</w:t>
        <w:softHyphen/>
        <w:t>pleted his studies and commenced his monastic life.</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Thence he went to </w:t>
      </w:r>
      <w:r>
        <w:rPr>
          <w:spacing w:val="0"/>
          <w:w w:val="100"/>
          <w:position w:val="0"/>
          <w:shd w:val="clear" w:color="auto" w:fill="auto"/>
          <w:lang w:val="de-DE" w:eastAsia="de-DE" w:bidi="de-DE"/>
        </w:rPr>
        <w:t xml:space="preserve">Tripolis, </w:t>
      </w:r>
      <w:r>
        <w:rPr>
          <w:spacing w:val="0"/>
          <w:w w:val="100"/>
          <w:position w:val="0"/>
          <w:shd w:val="clear" w:color="auto" w:fill="auto"/>
          <w:lang w:val="en-US" w:eastAsia="en-US" w:bidi="en-US"/>
        </w:rPr>
        <w:t xml:space="preserve">where he and </w:t>
      </w:r>
      <w:r>
        <w:rPr>
          <w:spacing w:val="0"/>
          <w:w w:val="100"/>
          <w:position w:val="0"/>
          <w:shd w:val="clear" w:color="auto" w:fill="auto"/>
          <w:lang w:val="fr-FR" w:eastAsia="fr-FR" w:bidi="fr-FR"/>
        </w:rPr>
        <w:t xml:space="preserve">Salībhā </w:t>
      </w:r>
      <w:r>
        <w:rPr>
          <w:spacing w:val="0"/>
          <w:w w:val="100"/>
          <w:position w:val="0"/>
          <w:shd w:val="clear" w:color="auto" w:fill="auto"/>
          <w:lang w:val="en-US" w:eastAsia="en-US" w:bidi="en-US"/>
        </w:rPr>
        <w:t xml:space="preserve">bar Jacob λVagih,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were studying medicine and rhetoric with a Nestorian teacher named Jacob, when they were summoned before the patriarch Ignatius II., on 14th September 1246, and ordained bishops, the former of </w:t>
      </w:r>
      <w:r>
        <w:rPr>
          <w:spacing w:val="0"/>
          <w:w w:val="100"/>
          <w:position w:val="0"/>
          <w:shd w:val="clear" w:color="auto" w:fill="auto"/>
          <w:lang w:val="fr-FR" w:eastAsia="fr-FR" w:bidi="fr-FR"/>
        </w:rPr>
        <w:t xml:space="preserve">Gubōs </w:t>
      </w:r>
      <w:r>
        <w:rPr>
          <w:spacing w:val="0"/>
          <w:w w:val="100"/>
          <w:position w:val="0"/>
          <w:shd w:val="clear" w:color="auto" w:fill="auto"/>
          <w:lang w:val="de-DE" w:eastAsia="de-DE" w:bidi="de-DE"/>
        </w:rPr>
        <w:t xml:space="preserve">(Gūbās) </w:t>
      </w:r>
      <w:r>
        <w:rPr>
          <w:spacing w:val="0"/>
          <w:w w:val="100"/>
          <w:position w:val="0"/>
          <w:shd w:val="clear" w:color="auto" w:fill="auto"/>
          <w:lang w:val="en-US" w:eastAsia="en-US" w:bidi="en-US"/>
        </w:rPr>
        <w:t>near Malatiah, the latter of 'Akkō.</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was then just twenty years of age. In the following year he was transferred to Lakabhin, another diocese adjacent to Mala</w:t>
        <w:softHyphen/>
        <w:t>tiah,</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by the patriarch Ignatius.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After the death of Ignatius,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took the part of Dionysius (Aaron 'Angur) against John bar Ma'dani, and was transferred by him in 1253 to Aleppo,</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32 </w:t>
      </w:r>
      <w:r>
        <w:rPr>
          <w:spacing w:val="0"/>
          <w:w w:val="100"/>
          <w:position w:val="0"/>
          <w:shd w:val="clear" w:color="auto" w:fill="auto"/>
          <w:lang w:val="en-US" w:eastAsia="en-US" w:bidi="en-US"/>
        </w:rPr>
        <w:t xml:space="preserve">but quickly deposed by his old friend </w:t>
      </w:r>
      <w:r>
        <w:rPr>
          <w:spacing w:val="0"/>
          <w:w w:val="100"/>
          <w:position w:val="0"/>
          <w:shd w:val="clear" w:color="auto" w:fill="auto"/>
          <w:lang w:val="fr-FR" w:eastAsia="fr-FR" w:bidi="fr-FR"/>
        </w:rPr>
        <w:t xml:space="preserve">Salībhā </w:t>
      </w:r>
      <w:r>
        <w:rPr>
          <w:spacing w:val="0"/>
          <w:w w:val="100"/>
          <w:position w:val="0"/>
          <w:shd w:val="clear" w:color="auto" w:fill="auto"/>
          <w:lang w:val="en-US" w:eastAsia="en-US" w:bidi="en-US"/>
        </w:rPr>
        <w:t>(who sided with John bar Ma'dani)</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nor did he recover this see till 1258.</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The next patriarch, Ignatius III. </w:t>
      </w:r>
      <w:r>
        <w:rPr>
          <w:spacing w:val="0"/>
          <w:w w:val="100"/>
          <w:position w:val="0"/>
          <w:shd w:val="clear" w:color="auto" w:fill="auto"/>
          <w:lang w:val="fr-FR" w:eastAsia="fr-FR" w:bidi="fr-FR"/>
        </w:rPr>
        <w:t xml:space="preserve">(Yēshū'), </w:t>
      </w:r>
      <w:r>
        <w:rPr>
          <w:spacing w:val="0"/>
          <w:w w:val="100"/>
          <w:position w:val="0"/>
          <w:shd w:val="clear" w:color="auto" w:fill="auto"/>
          <w:lang w:val="en-US" w:eastAsia="en-US" w:bidi="en-US"/>
        </w:rPr>
        <w:t xml:space="preserve">abbot of </w:t>
      </w:r>
      <w:r>
        <w:rPr>
          <w:spacing w:val="0"/>
          <w:w w:val="100"/>
          <w:position w:val="0"/>
          <w:shd w:val="clear" w:color="auto" w:fill="auto"/>
          <w:lang w:val="fr-FR" w:eastAsia="fr-FR" w:bidi="fr-FR"/>
        </w:rPr>
        <w:t xml:space="preserve">Gēvīkāth </w:t>
      </w:r>
      <w:r>
        <w:rPr>
          <w:spacing w:val="0"/>
          <w:w w:val="100"/>
          <w:position w:val="0"/>
          <w:shd w:val="clear" w:color="auto" w:fill="auto"/>
          <w:lang w:val="en-US" w:eastAsia="en-US" w:bidi="en-US"/>
        </w:rPr>
        <w:t>near Mopsu</w:t>
        <w:softHyphen/>
        <w:t>estia,</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advanced him to the dignity of </w:t>
      </w:r>
      <w:r>
        <w:rPr>
          <w:spacing w:val="0"/>
          <w:w w:val="100"/>
          <w:position w:val="0"/>
          <w:shd w:val="clear" w:color="auto" w:fill="auto"/>
          <w:lang w:val="fr-FR" w:eastAsia="fr-FR" w:bidi="fr-FR"/>
        </w:rPr>
        <w:t xml:space="preserve">maphriān </w:t>
      </w:r>
      <w:r>
        <w:rPr>
          <w:spacing w:val="0"/>
          <w:w w:val="100"/>
          <w:position w:val="0"/>
          <w:shd w:val="clear" w:color="auto" w:fill="auto"/>
          <w:lang w:val="en-US" w:eastAsia="en-US" w:bidi="en-US"/>
        </w:rPr>
        <w:t>in 1264.</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Hence</w:t>
        <w:softHyphen/>
        <w:t xml:space="preserve">forth his life was an active and busy one, and it seems almost marvellous that he should have studied and written so much, while in no way neglectful of the vast diocese committed to his charge. The story is told by himself in simple language in his </w:t>
      </w:r>
      <w:r>
        <w:rPr>
          <w:i/>
          <w:iCs/>
          <w:spacing w:val="0"/>
          <w:w w:val="100"/>
          <w:position w:val="0"/>
          <w:shd w:val="clear" w:color="auto" w:fill="auto"/>
          <w:lang w:val="en-US" w:eastAsia="en-US" w:bidi="en-US"/>
        </w:rPr>
        <w:t>Ecclesiastical History,@@</w:t>
      </w:r>
      <w:r>
        <w:rPr>
          <w:i/>
          <w:iCs/>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with a continuation by his surviving brother </w:t>
      </w:r>
      <w:r>
        <w:rPr>
          <w:spacing w:val="0"/>
          <w:w w:val="100"/>
          <w:position w:val="0"/>
          <w:shd w:val="clear" w:color="auto" w:fill="auto"/>
          <w:lang w:val="fr-FR" w:eastAsia="fr-FR" w:bidi="fr-FR"/>
        </w:rPr>
        <w:t xml:space="preserve">Bar-saumā </w:t>
      </w:r>
      <w:r>
        <w:rPr>
          <w:spacing w:val="0"/>
          <w:w w:val="100"/>
          <w:position w:val="0"/>
          <w:shd w:val="clear" w:color="auto" w:fill="auto"/>
          <w:lang w:val="en-US" w:eastAsia="en-US" w:bidi="en-US"/>
        </w:rPr>
        <w:t>Safi, giving a nearly complete list of his works.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He died at </w:t>
      </w:r>
      <w:r>
        <w:rPr>
          <w:spacing w:val="0"/>
          <w:w w:val="100"/>
          <w:position w:val="0"/>
          <w:shd w:val="clear" w:color="auto" w:fill="auto"/>
          <w:lang w:val="fr-FR" w:eastAsia="fr-FR" w:bidi="fr-FR"/>
        </w:rPr>
        <w:t xml:space="preserve">Marāghah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Adhurbāigān </w:t>
      </w:r>
      <w:r>
        <w:rPr>
          <w:spacing w:val="0"/>
          <w:w w:val="100"/>
          <w:position w:val="0"/>
          <w:shd w:val="clear" w:color="auto" w:fill="auto"/>
          <w:lang w:val="en-US" w:eastAsia="en-US" w:bidi="en-US"/>
        </w:rPr>
        <w:t>on 30th July 1286, and the greatest respect was shown to his memory by Greeks, Armenians, and Nestorians alike, the shops being closed and no business trans</w:t>
        <w:softHyphen/>
        <w:t>acted.</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His body was conveyed to the convent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Matthew at Mosul,</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where his grave was seen by Badger in October 1843.</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41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cultiVated nearly every branch of science that was in vogue in his time, his object being on the one hand to reinvigo</w:t>
        <w:softHyphen/>
        <w:t xml:space="preserve">rate and keep alive the Syriac language and literature, and on the other to make available to his co-religionists the learning of the Muhammadans in a suitable form. Hence his treatment of the Aristotelian philosophy, following in the footsteps of Ibn </w:t>
      </w:r>
      <w:r>
        <w:rPr>
          <w:spacing w:val="0"/>
          <w:w w:val="100"/>
          <w:position w:val="0"/>
          <w:shd w:val="clear" w:color="auto" w:fill="auto"/>
          <w:lang w:val="fr-FR" w:eastAsia="fr-FR" w:bidi="fr-FR"/>
        </w:rPr>
        <w:t xml:space="preserve">Sīnā </w:t>
      </w:r>
      <w:r>
        <w:rPr>
          <w:spacing w:val="0"/>
          <w:w w:val="100"/>
          <w:position w:val="0"/>
          <w:shd w:val="clear" w:color="auto" w:fill="auto"/>
          <w:lang w:val="en-US" w:eastAsia="en-US" w:bidi="en-US"/>
        </w:rPr>
        <w:t>(Avicenna) and other Arabian writers.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Kéthābhā clhé-Bhā- bhāthā,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“Book of the Pupils of the Eyes,” is a compendium of the art of logic or dialectics, comprising an introduction on the utility of logic and seven chapters in which the author deals suc</w:t>
        <w:softHyphen/>
        <w:t xml:space="preserve">cessively with the </w:t>
      </w:r>
      <w:r>
        <w:rPr>
          <w:i/>
          <w:iCs/>
          <w:spacing w:val="0"/>
          <w:w w:val="100"/>
          <w:position w:val="0"/>
          <w:shd w:val="clear" w:color="auto" w:fill="auto"/>
          <w:lang w:val="la-001" w:eastAsia="la-001" w:bidi="la-001"/>
        </w:rPr>
        <w:t>Isagoge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Porphyry, the </w:t>
      </w:r>
      <w:r>
        <w:rPr>
          <w:i/>
          <w:iCs/>
          <w:spacing w:val="0"/>
          <w:w w:val="100"/>
          <w:position w:val="0"/>
          <w:shd w:val="clear" w:color="auto" w:fill="auto"/>
          <w:lang w:val="en-US" w:eastAsia="en-US" w:bidi="en-US"/>
        </w:rPr>
        <w:t xml:space="preserve">Categories, </w:t>
      </w:r>
      <w:r>
        <w:rPr>
          <w:i/>
          <w:iCs/>
          <w:spacing w:val="0"/>
          <w:w w:val="100"/>
          <w:position w:val="0"/>
          <w:shd w:val="clear" w:color="auto" w:fill="auto"/>
          <w:lang w:val="la-001" w:eastAsia="la-001" w:bidi="la-001"/>
        </w:rPr>
        <w:t>De Inter</w:t>
        <w:softHyphen/>
        <w:t xml:space="preserve">pretatione, </w:t>
      </w:r>
      <w:r>
        <w:rPr>
          <w:i/>
          <w:iCs/>
          <w:spacing w:val="0"/>
          <w:w w:val="100"/>
          <w:position w:val="0"/>
          <w:shd w:val="clear" w:color="auto" w:fill="auto"/>
          <w:lang w:val="en-US" w:eastAsia="en-US" w:bidi="en-US"/>
        </w:rPr>
        <w:t xml:space="preserve">Analytica </w:t>
      </w:r>
      <w:r>
        <w:rPr>
          <w:i/>
          <w:iCs/>
          <w:spacing w:val="0"/>
          <w:w w:val="100"/>
          <w:position w:val="0"/>
          <w:shd w:val="clear" w:color="auto" w:fill="auto"/>
          <w:lang w:val="la-001" w:eastAsia="la-001" w:bidi="la-001"/>
        </w:rPr>
        <w:t xml:space="preserve">Priora, Topica, </w:t>
      </w:r>
      <w:r>
        <w:rPr>
          <w:i/>
          <w:iCs/>
          <w:spacing w:val="0"/>
          <w:w w:val="100"/>
          <w:position w:val="0"/>
          <w:shd w:val="clear" w:color="auto" w:fill="auto"/>
          <w:lang w:val="en-US" w:eastAsia="en-US" w:bidi="en-US"/>
        </w:rPr>
        <w:t xml:space="preserve">Analytica </w:t>
      </w:r>
      <w:r>
        <w:rPr>
          <w:i/>
          <w:iCs/>
          <w:spacing w:val="0"/>
          <w:w w:val="100"/>
          <w:position w:val="0"/>
          <w:shd w:val="clear" w:color="auto" w:fill="auto"/>
          <w:lang w:val="la-001" w:eastAsia="la-001" w:bidi="la-001"/>
        </w:rPr>
        <w:t>Posteriora,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Sophisticis Elenchis.</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connexion with it we take the </w:t>
      </w:r>
      <w:r>
        <w:rPr>
          <w:i/>
          <w:iCs/>
          <w:spacing w:val="0"/>
          <w:w w:val="100"/>
          <w:position w:val="0"/>
          <w:shd w:val="clear" w:color="auto" w:fill="auto"/>
          <w:lang w:val="fr-FR" w:eastAsia="fr-FR" w:bidi="fr-FR"/>
        </w:rPr>
        <w:t xml:space="preserve">Kéthābhā </w:t>
      </w:r>
      <w:r>
        <w:rPr>
          <w:i/>
          <w:iCs/>
          <w:spacing w:val="0"/>
          <w:w w:val="100"/>
          <w:position w:val="0"/>
          <w:shd w:val="clear" w:color="auto" w:fill="auto"/>
          <w:lang w:val="de-DE" w:eastAsia="de-DE" w:bidi="de-DE"/>
        </w:rPr>
        <w:t xml:space="preserve">dha-Sūwādh </w:t>
      </w:r>
      <w:r>
        <w:rPr>
          <w:i/>
          <w:iCs/>
          <w:spacing w:val="0"/>
          <w:w w:val="100"/>
          <w:position w:val="0"/>
          <w:shd w:val="clear" w:color="auto" w:fill="auto"/>
          <w:lang w:val="en-US" w:eastAsia="en-US" w:bidi="en-US"/>
        </w:rPr>
        <w:t>Sophia</w:t>
      </w:r>
      <w:r>
        <w:rPr>
          <w:spacing w:val="0"/>
          <w:w w:val="100"/>
          <w:position w:val="0"/>
          <w:shd w:val="clear" w:color="auto" w:fill="auto"/>
          <w:lang w:val="en-US" w:eastAsia="en-US" w:bidi="en-US"/>
        </w:rPr>
        <w:t xml:space="preserve"> or “Book of the Speech of Wisdom,” a com</w:t>
        <w:softHyphen/>
        <w:t>pendium of dialectics, physics, and metaphysics or theology.</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44 </w:t>
      </w:r>
      <w:r>
        <w:rPr>
          <w:spacing w:val="0"/>
          <w:w w:val="100"/>
          <w:position w:val="0"/>
          <w:shd w:val="clear" w:color="auto" w:fill="auto"/>
          <w:lang w:val="en-US" w:eastAsia="en-US" w:bidi="en-US"/>
        </w:rPr>
        <w:t xml:space="preserve">The large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 xml:space="preserve">entitled </w:t>
      </w:r>
      <w:r>
        <w:rPr>
          <w:i/>
          <w:iCs/>
          <w:spacing w:val="0"/>
          <w:w w:val="100"/>
          <w:position w:val="0"/>
          <w:shd w:val="clear" w:color="auto" w:fill="auto"/>
          <w:lang w:val="fr-FR" w:eastAsia="fr-FR" w:bidi="fr-FR"/>
        </w:rPr>
        <w:t>Ilēwath Hekhméthā,</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“Butyrum </w:t>
      </w:r>
      <w:r>
        <w:rPr>
          <w:spacing w:val="0"/>
          <w:w w:val="100"/>
          <w:position w:val="0"/>
          <w:shd w:val="clear" w:color="auto" w:fill="auto"/>
          <w:lang w:val="fr-FR" w:eastAsia="fr-FR" w:bidi="fr-FR"/>
        </w:rPr>
        <w:t xml:space="preserve">Sapientiæ,” </w:t>
      </w:r>
      <w:r>
        <w:rPr>
          <w:spacing w:val="0"/>
          <w:w w:val="100"/>
          <w:position w:val="0"/>
          <w:shd w:val="clear" w:color="auto" w:fill="auto"/>
          <w:lang w:val="en-US" w:eastAsia="en-US" w:bidi="en-US"/>
        </w:rPr>
        <w:t xml:space="preserve">or less correctly </w:t>
      </w:r>
      <w:r>
        <w:rPr>
          <w:i/>
          <w:iCs/>
          <w:spacing w:val="0"/>
          <w:w w:val="100"/>
          <w:position w:val="0"/>
          <w:shd w:val="clear" w:color="auto" w:fill="auto"/>
          <w:lang w:val="en-US" w:eastAsia="en-US" w:bidi="en-US"/>
        </w:rPr>
        <w:t xml:space="preserve">Ifekhmath </w:t>
      </w:r>
      <w:r>
        <w:rPr>
          <w:i/>
          <w:iCs/>
          <w:spacing w:val="0"/>
          <w:w w:val="100"/>
          <w:position w:val="0"/>
          <w:shd w:val="clear" w:color="auto" w:fill="auto"/>
          <w:lang w:val="de-DE" w:eastAsia="de-DE" w:bidi="de-DE"/>
        </w:rPr>
        <w:t>Ilckbmāthā,</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“Sapientia Sapientiarum,” </w:t>
      </w:r>
      <w:r>
        <w:rPr>
          <w:spacing w:val="0"/>
          <w:w w:val="100"/>
          <w:position w:val="0"/>
          <w:shd w:val="clear" w:color="auto" w:fill="auto"/>
          <w:lang w:val="en-US" w:eastAsia="en-US" w:bidi="en-US"/>
        </w:rPr>
        <w:t xml:space="preserve">comprises the whole Aristotelian discipline. The first volume contains the </w:t>
      </w:r>
      <w:r>
        <w:rPr>
          <w:i/>
          <w:iCs/>
          <w:spacing w:val="0"/>
          <w:w w:val="100"/>
          <w:position w:val="0"/>
          <w:shd w:val="clear" w:color="auto" w:fill="auto"/>
          <w:lang w:val="en-US" w:eastAsia="en-US" w:bidi="en-US"/>
        </w:rPr>
        <w:t>Logic,</w:t>
      </w:r>
      <w:r>
        <w:rPr>
          <w:spacing w:val="0"/>
          <w:w w:val="100"/>
          <w:position w:val="0"/>
          <w:shd w:val="clear" w:color="auto" w:fill="auto"/>
          <w:lang w:val="en-US" w:eastAsia="en-US" w:bidi="en-US"/>
        </w:rPr>
        <w:t xml:space="preserve"> viz., the </w:t>
      </w:r>
      <w:r>
        <w:rPr>
          <w:i/>
          <w:iCs/>
          <w:spacing w:val="0"/>
          <w:w w:val="100"/>
          <w:position w:val="0"/>
          <w:shd w:val="clear" w:color="auto" w:fill="auto"/>
          <w:lang w:val="la-001" w:eastAsia="la-001" w:bidi="la-001"/>
        </w:rPr>
        <w:t xml:space="preserve">Isagoge, </w:t>
      </w:r>
      <w:r>
        <w:rPr>
          <w:i/>
          <w:iCs/>
          <w:spacing w:val="0"/>
          <w:w w:val="100"/>
          <w:position w:val="0"/>
          <w:shd w:val="clear" w:color="auto" w:fill="auto"/>
          <w:lang w:val="en-US" w:eastAsia="en-US" w:bidi="en-US"/>
        </w:rPr>
        <w:t xml:space="preserve">Categories,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Interpret., Anal. Pri.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Poster., </w:t>
      </w:r>
      <w:r>
        <w:rPr>
          <w:i/>
          <w:iCs/>
          <w:spacing w:val="0"/>
          <w:w w:val="100"/>
          <w:position w:val="0"/>
          <w:shd w:val="clear" w:color="auto" w:fill="auto"/>
          <w:lang w:val="la-001" w:eastAsia="la-001" w:bidi="la-001"/>
        </w:rPr>
        <w:t xml:space="preserve">Dialectica,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Sophist. </w:t>
      </w:r>
      <w:r>
        <w:rPr>
          <w:i/>
          <w:iCs/>
          <w:spacing w:val="0"/>
          <w:w w:val="100"/>
          <w:position w:val="0"/>
          <w:shd w:val="clear" w:color="auto" w:fill="auto"/>
          <w:lang w:val="la-001" w:eastAsia="la-001" w:bidi="la-001"/>
        </w:rPr>
        <w:t xml:space="preserve">Elenchis, </w:t>
      </w:r>
      <w:r>
        <w:rPr>
          <w:i/>
          <w:iCs/>
          <w:spacing w:val="0"/>
          <w:w w:val="100"/>
          <w:position w:val="0"/>
          <w:shd w:val="clear" w:color="auto" w:fill="auto"/>
          <w:lang w:val="en-US" w:eastAsia="en-US" w:bidi="en-US"/>
        </w:rPr>
        <w:t>Rhetoric,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Art of Poetry.</w:t>
      </w:r>
      <w:r>
        <w:rPr>
          <w:spacing w:val="0"/>
          <w:w w:val="100"/>
          <w:position w:val="0"/>
          <w:shd w:val="clear" w:color="auto" w:fill="auto"/>
          <w:lang w:val="en-US" w:eastAsia="en-US" w:bidi="en-US"/>
        </w:rPr>
        <w:t xml:space="preserve"> The second comprises the </w:t>
      </w:r>
      <w:r>
        <w:rPr>
          <w:i/>
          <w:iCs/>
          <w:spacing w:val="0"/>
          <w:w w:val="100"/>
          <w:position w:val="0"/>
          <w:shd w:val="clear" w:color="auto" w:fill="auto"/>
          <w:lang w:val="en-US" w:eastAsia="en-US" w:bidi="en-US"/>
        </w:rPr>
        <w:t>Physics,</w:t>
      </w:r>
      <w:r>
        <w:rPr>
          <w:spacing w:val="0"/>
          <w:w w:val="100"/>
          <w:position w:val="0"/>
          <w:shd w:val="clear" w:color="auto" w:fill="auto"/>
          <w:lang w:val="en-US" w:eastAsia="en-US" w:bidi="en-US"/>
        </w:rPr>
        <w:t xml:space="preserve"> viz.,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Auscult. </w:t>
      </w:r>
      <w:r>
        <w:rPr>
          <w:i/>
          <w:iCs/>
          <w:spacing w:val="0"/>
          <w:w w:val="100"/>
          <w:position w:val="0"/>
          <w:shd w:val="clear" w:color="auto" w:fill="auto"/>
          <w:lang w:val="la-001" w:eastAsia="la-001" w:bidi="la-001"/>
        </w:rPr>
        <w:t xml:space="preserve">Physica, </w:t>
      </w:r>
      <w:r>
        <w:rPr>
          <w:i/>
          <w:iCs/>
          <w:spacing w:val="0"/>
          <w:w w:val="100"/>
          <w:position w:val="0"/>
          <w:shd w:val="clear" w:color="auto" w:fill="auto"/>
          <w:lang w:val="fr-FR" w:eastAsia="fr-FR" w:bidi="fr-FR"/>
        </w:rPr>
        <w:t xml:space="preserve">De Cælo </w:t>
      </w:r>
      <w:r>
        <w:rPr>
          <w:i/>
          <w:iCs/>
          <w:spacing w:val="0"/>
          <w:w w:val="100"/>
          <w:position w:val="0"/>
          <w:shd w:val="clear" w:color="auto" w:fill="auto"/>
          <w:lang w:val="de-DE" w:eastAsia="de-DE" w:bidi="de-DE"/>
        </w:rPr>
        <w:t xml:space="preserve">et Mundo, </w:t>
      </w:r>
      <w:r>
        <w:rPr>
          <w:i/>
          <w:iCs/>
          <w:spacing w:val="0"/>
          <w:w w:val="100"/>
          <w:position w:val="0"/>
          <w:shd w:val="clear" w:color="auto" w:fill="auto"/>
          <w:lang w:val="fr-FR" w:eastAsia="fr-FR" w:bidi="fr-FR"/>
        </w:rPr>
        <w:t xml:space="preserve">De </w:t>
      </w:r>
      <w:r>
        <w:rPr>
          <w:i/>
          <w:iCs/>
          <w:spacing w:val="0"/>
          <w:w w:val="100"/>
          <w:position w:val="0"/>
          <w:shd w:val="clear" w:color="auto" w:fill="auto"/>
          <w:lang w:val="de-DE" w:eastAsia="de-DE" w:bidi="de-DE"/>
        </w:rPr>
        <w:t xml:space="preserve">Meteorit,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Genera</w:t>
        <w:softHyphen/>
        <w:t xml:space="preserve">tione </w:t>
      </w:r>
      <w:r>
        <w:rPr>
          <w:i/>
          <w:iCs/>
          <w:spacing w:val="0"/>
          <w:w w:val="100"/>
          <w:position w:val="0"/>
          <w:shd w:val="clear" w:color="auto" w:fill="auto"/>
          <w:lang w:val="fr-FR" w:eastAsia="fr-FR" w:bidi="fr-FR"/>
        </w:rPr>
        <w:t xml:space="preserve">et </w:t>
      </w:r>
      <w:r>
        <w:rPr>
          <w:i/>
          <w:iCs/>
          <w:spacing w:val="0"/>
          <w:w w:val="100"/>
          <w:position w:val="0"/>
          <w:shd w:val="clear" w:color="auto" w:fill="auto"/>
          <w:lang w:val="la-001" w:eastAsia="la-001" w:bidi="la-001"/>
        </w:rPr>
        <w:t xml:space="preserve">Corruptione,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 xml:space="preserve">Fossilibus,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 xml:space="preserve">Plantis,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Animalibus,</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and </w:t>
      </w:r>
      <w:r>
        <w:rPr>
          <w:i/>
          <w:iCs/>
          <w:spacing w:val="0"/>
          <w:w w:val="100"/>
          <w:position w:val="0"/>
          <w:shd w:val="clear" w:color="auto" w:fill="auto"/>
          <w:lang w:val="fr-FR" w:eastAsia="fr-FR" w:bidi="fr-FR"/>
        </w:rPr>
        <w:t>De Anima.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third, in its first </w:t>
      </w:r>
      <w:r>
        <w:rPr>
          <w:spacing w:val="0"/>
          <w:w w:val="100"/>
          <w:position w:val="0"/>
          <w:shd w:val="clear" w:color="auto" w:fill="auto"/>
          <w:lang w:val="fr-FR" w:eastAsia="fr-FR" w:bidi="fr-FR"/>
        </w:rPr>
        <w:t xml:space="preserve">section, </w:t>
      </w:r>
      <w:r>
        <w:rPr>
          <w:spacing w:val="0"/>
          <w:w w:val="100"/>
          <w:position w:val="0"/>
          <w:shd w:val="clear" w:color="auto" w:fill="auto"/>
          <w:lang w:val="en-US" w:eastAsia="en-US" w:bidi="en-US"/>
        </w:rPr>
        <w:t xml:space="preserve">treats of the </w:t>
      </w:r>
      <w:r>
        <w:rPr>
          <w:i/>
          <w:iCs/>
          <w:spacing w:val="0"/>
          <w:w w:val="100"/>
          <w:position w:val="0"/>
          <w:shd w:val="clear" w:color="auto" w:fill="auto"/>
          <w:lang w:val="en-US" w:eastAsia="en-US" w:bidi="en-US"/>
        </w:rPr>
        <w:t xml:space="preserve">Metaphysics, </w:t>
      </w:r>
      <w:r>
        <w:rPr>
          <w:spacing w:val="0"/>
          <w:w w:val="100"/>
          <w:position w:val="0"/>
          <w:shd w:val="clear" w:color="auto" w:fill="auto"/>
          <w:lang w:val="en-US" w:eastAsia="en-US" w:bidi="en-US"/>
        </w:rPr>
        <w:t>viz., of the origin and writers of philosophy, and of theology ; in its second section, of ethics, economics, and politics.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45</w:t>
      </w:r>
      <w:r>
        <w:rPr>
          <w:spacing w:val="0"/>
          <w:w w:val="100"/>
          <w:position w:val="0"/>
          <w:shd w:val="clear" w:color="auto" w:fill="auto"/>
          <w:lang w:val="en-US" w:eastAsia="en-US" w:bidi="en-US"/>
        </w:rPr>
        <w:t xml:space="preserve"> An abridge-</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455) is mistaken ; see also pp. 237 and 477.</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According to </w:t>
      </w:r>
      <w:r>
        <w:rPr>
          <w:spacing w:val="0"/>
          <w:w w:val="100"/>
          <w:position w:val="0"/>
          <w:shd w:val="clear" w:color="auto" w:fill="auto"/>
          <w:lang w:val="fr-FR" w:eastAsia="fr-FR" w:bidi="fr-FR"/>
        </w:rPr>
        <w:t xml:space="preserve">Abbeloos, 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412, “in </w:t>
      </w:r>
      <w:r>
        <w:rPr>
          <w:spacing w:val="0"/>
          <w:w w:val="100"/>
          <w:position w:val="0"/>
          <w:shd w:val="clear" w:color="auto" w:fill="auto"/>
          <w:lang w:val="fr-FR" w:eastAsia="fr-FR" w:bidi="fr-FR"/>
        </w:rPr>
        <w:t xml:space="preserve">ærarium </w:t>
      </w:r>
      <w:r>
        <w:rPr>
          <w:spacing w:val="0"/>
          <w:w w:val="100"/>
          <w:position w:val="0"/>
          <w:shd w:val="clear" w:color="auto" w:fill="auto"/>
          <w:lang w:val="en-US" w:eastAsia="en-US" w:bidi="en-US"/>
        </w:rPr>
        <w:t xml:space="preserve">publicum </w:t>
      </w:r>
      <w:r>
        <w:rPr>
          <w:spacing w:val="0"/>
          <w:w w:val="100"/>
          <w:position w:val="0"/>
          <w:shd w:val="clear" w:color="auto" w:fill="auto"/>
          <w:lang w:val="la-001" w:eastAsia="la-001" w:bidi="la-001"/>
        </w:rPr>
        <w:t xml:space="preserve">principis </w:t>
      </w:r>
      <w:r>
        <w:rPr>
          <w:spacing w:val="0"/>
          <w:w w:val="100"/>
          <w:position w:val="0"/>
          <w:shd w:val="clear" w:color="auto" w:fill="auto"/>
          <w:lang w:val="fr-FR" w:eastAsia="fr-FR" w:bidi="fr-FR"/>
        </w:rPr>
        <w:t xml:space="preserve">Mossulæ </w:t>
      </w:r>
      <w:r>
        <w:rPr>
          <w:spacing w:val="0"/>
          <w:w w:val="100"/>
          <w:position w:val="0"/>
          <w:shd w:val="clear" w:color="auto" w:fill="auto"/>
          <w:lang w:val="la-001" w:eastAsia="la-001" w:bidi="la-001"/>
        </w:rPr>
        <w:t xml:space="preserve">assumpti fuerunt." </w:t>
      </w:r>
      <w:r>
        <w:rPr>
          <w:spacing w:val="0"/>
          <w:w w:val="100"/>
          <w:position w:val="0"/>
          <w:shd w:val="clear" w:color="auto" w:fill="auto"/>
          <w:lang w:val="en-US" w:eastAsia="en-US" w:bidi="en-US"/>
        </w:rPr>
        <w:t>we suspect that the Christian bishop's library went to light the fires of the public bath.</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 Cod. Vat. clix.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307)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7193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84) ; and in the collection of the S.P.C.K. An extract in Cod. Vat. ccccxi. (Mai, </w:t>
      </w:r>
      <w:r>
        <w:rPr>
          <w:i/>
          <w:iCs/>
          <w:spacing w:val="0"/>
          <w:w w:val="100"/>
          <w:position w:val="0"/>
          <w:shd w:val="clear" w:color="auto" w:fill="auto"/>
          <w:lang w:val="en-US" w:eastAsia="en-US" w:bidi="en-US"/>
        </w:rPr>
        <w:t>Scriptt. Eett. Nova Coll.,</w:t>
      </w:r>
      <w:r>
        <w:rPr>
          <w:spacing w:val="0"/>
          <w:w w:val="100"/>
          <w:position w:val="0"/>
          <w:shd w:val="clear" w:color="auto" w:fill="auto"/>
          <w:lang w:val="en-US" w:eastAsia="en-US" w:bidi="en-US"/>
        </w:rPr>
        <w:t xml:space="preserve"> v.)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237-240.</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21454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1165); </w:t>
      </w:r>
      <w:r>
        <w:rPr>
          <w:spacing w:val="0"/>
          <w:w w:val="100"/>
          <w:position w:val="0"/>
          <w:shd w:val="clear" w:color="auto" w:fill="auto"/>
          <w:lang w:val="de-DE" w:eastAsia="de-DE" w:bidi="de-DE"/>
        </w:rPr>
        <w:t xml:space="preserve">Gōttingen, </w:t>
      </w:r>
      <w:r>
        <w:rPr>
          <w:spacing w:val="0"/>
          <w:w w:val="100"/>
          <w:position w:val="0"/>
          <w:shd w:val="clear" w:color="auto" w:fill="auto"/>
          <w:lang w:val="en-US" w:eastAsia="en-US" w:bidi="en-US"/>
        </w:rPr>
        <w:t xml:space="preserve">Cod. Orient. 18c ; Bodl. Marsh. 528 (apparently imperfect, P.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642). Ex</w:t>
        <w:softHyphen/>
        <w:t xml:space="preserve">cerpts in Berlin, Alt. Best. 38, 1. Book i., dial. 3, has been edited by Martin, </w:t>
      </w:r>
      <w:r>
        <w:rPr>
          <w:spacing w:val="0"/>
          <w:w w:val="100"/>
          <w:position w:val="0"/>
          <w:shd w:val="clear" w:color="auto" w:fill="auto"/>
          <w:lang w:val="fr-FR" w:eastAsia="fr-FR" w:bidi="fr-FR"/>
        </w:rPr>
        <w:t xml:space="preserve">“De la Métrique chez les Syriens,” </w:t>
      </w:r>
      <w:r>
        <w:rPr>
          <w:spacing w:val="0"/>
          <w:w w:val="100"/>
          <w:position w:val="0"/>
          <w:shd w:val="clear" w:color="auto" w:fill="auto"/>
          <w:lang w:val="de-DE" w:eastAsia="de-DE" w:bidi="de-DE"/>
        </w:rPr>
        <w:t xml:space="preserve">in </w:t>
      </w:r>
      <w:r>
        <w:rPr>
          <w:i/>
          <w:iCs/>
          <w:spacing w:val="0"/>
          <w:w w:val="100"/>
          <w:position w:val="0"/>
          <w:shd w:val="clear" w:color="auto" w:fill="auto"/>
          <w:lang w:val="de-DE" w:eastAsia="de-DE" w:bidi="de-DE"/>
        </w:rPr>
        <w:t xml:space="preserve">Abhandlungen fūr </w:t>
      </w:r>
      <w:r>
        <w:rPr>
          <w:i/>
          <w:iCs/>
          <w:spacing w:val="0"/>
          <w:w w:val="100"/>
          <w:position w:val="0"/>
          <w:shd w:val="clear" w:color="auto" w:fill="auto"/>
          <w:lang w:val="fr-FR" w:eastAsia="fr-FR" w:bidi="fr-FR"/>
        </w:rPr>
        <w:t xml:space="preserve">d. </w:t>
      </w:r>
      <w:r>
        <w:rPr>
          <w:i/>
          <w:iCs/>
          <w:spacing w:val="0"/>
          <w:w w:val="100"/>
          <w:position w:val="0"/>
          <w:shd w:val="clear" w:color="auto" w:fill="auto"/>
          <w:lang w:val="de-DE" w:eastAsia="de-DE" w:bidi="de-DE"/>
        </w:rPr>
        <w:t xml:space="preserve">Kunde </w:t>
      </w:r>
      <w:r>
        <w:rPr>
          <w:i/>
          <w:iCs/>
          <w:spacing w:val="0"/>
          <w:w w:val="100"/>
          <w:position w:val="0"/>
          <w:shd w:val="clear" w:color="auto" w:fill="auto"/>
          <w:lang w:val="fr-FR" w:eastAsia="fr-FR" w:bidi="fr-FR"/>
        </w:rPr>
        <w:t xml:space="preserve">d. </w:t>
      </w:r>
      <w:r>
        <w:rPr>
          <w:i/>
          <w:iCs/>
          <w:spacing w:val="0"/>
          <w:w w:val="100"/>
          <w:position w:val="0"/>
          <w:shd w:val="clear" w:color="auto" w:fill="auto"/>
          <w:lang w:val="de-DE" w:eastAsia="de-DE" w:bidi="de-DE"/>
        </w:rPr>
        <w:t>Morgen</w:t>
        <w:softHyphen/>
        <w:t>landes,</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Bd. </w:t>
      </w:r>
      <w:r>
        <w:rPr>
          <w:spacing w:val="0"/>
          <w:w w:val="100"/>
          <w:position w:val="0"/>
          <w:shd w:val="clear" w:color="auto" w:fill="auto"/>
          <w:lang w:val="en-US" w:eastAsia="en-US" w:bidi="en-US"/>
        </w:rPr>
        <w:t>vii., No. 2, 1879.</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7193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84);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407, where the third brother Shams ad-Daulah is also mentioned.</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6 B.O., ii. 240.</w:t>
      </w:r>
    </w:p>
    <w:p>
      <w:pPr>
        <w:pStyle w:val="Style6"/>
        <w:keepNext w:val="0"/>
        <w:keepLines w:val="0"/>
        <w:widowControl w:val="0"/>
        <w:shd w:val="clear" w:color="auto" w:fill="auto"/>
        <w:tabs>
          <w:tab w:pos="1465" w:val="left"/>
        </w:tabs>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 xml:space="preserve"> E.g.,</w:t>
      </w:r>
      <w:r>
        <w:rPr>
          <w:spacing w:val="0"/>
          <w:w w:val="100"/>
          <w:position w:val="0"/>
          <w:shd w:val="clear" w:color="auto" w:fill="auto"/>
          <w:lang w:val="en-US" w:eastAsia="en-US" w:bidi="en-US"/>
        </w:rPr>
        <w:t xml:space="preserve"> Cod.Vat. li. 9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 318) ; ccciv. (Mai,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v.) ; Paris,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 xml:space="preserve">22, 23, 38, 94 (the last in Arabic), see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68, 72, 76 ; comp.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241.</w:t>
        <w:tab/>
      </w:r>
    </w:p>
    <w:p>
      <w:pPr>
        <w:pStyle w:val="Style6"/>
        <w:keepNext w:val="0"/>
        <w:keepLines w:val="0"/>
        <w:widowControl w:val="0"/>
        <w:shd w:val="clear" w:color="auto" w:fill="auto"/>
        <w:tabs>
          <w:tab w:pos="1625" w:val="left"/>
        </w:tabs>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8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454.</w:t>
      </w:r>
    </w:p>
    <w:p>
      <w:pPr>
        <w:pStyle w:val="Style6"/>
        <w:keepNext w:val="0"/>
        <w:keepLines w:val="0"/>
        <w:widowControl w:val="0"/>
        <w:shd w:val="clear" w:color="auto" w:fill="auto"/>
        <w:tabs>
          <w:tab w:pos="1625" w:val="left"/>
        </w:tabs>
        <w:bidi w:val="0"/>
        <w:spacing w:line="192" w:lineRule="auto"/>
        <w:ind w:left="0" w:firstLine="360"/>
        <w:jc w:val="left"/>
      </w:pP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407.</w:t>
      </w:r>
    </w:p>
    <w:p>
      <w:pPr>
        <w:pStyle w:val="Style6"/>
        <w:keepNext w:val="0"/>
        <w:keepLines w:val="0"/>
        <w:widowControl w:val="0"/>
        <w:shd w:val="clear" w:color="auto" w:fill="auto"/>
        <w:tabs>
          <w:tab w:pos="1366" w:val="left"/>
          <w:tab w:pos="2576"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10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411.</w:t>
        <w:tab/>
      </w:r>
    </w:p>
    <w:p>
      <w:pPr>
        <w:pStyle w:val="Style6"/>
        <w:keepNext w:val="0"/>
        <w:keepLines w:val="0"/>
        <w:widowControl w:val="0"/>
        <w:shd w:val="clear" w:color="auto" w:fill="auto"/>
        <w:tabs>
          <w:tab w:pos="1366" w:val="left"/>
          <w:tab w:pos="2576" w:val="left"/>
        </w:tabs>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Ibid.,</w:t>
      </w:r>
      <w:r>
        <w:rPr>
          <w:spacing w:val="0"/>
          <w:w w:val="100"/>
          <w:position w:val="0"/>
          <w:shd w:val="clear" w:color="auto" w:fill="auto"/>
          <w:lang w:val="en-US" w:eastAsia="en-US" w:bidi="en-US"/>
        </w:rPr>
        <w:t xml:space="preserve"> ii. 413.</w:t>
        <w:tab/>
      </w:r>
    </w:p>
    <w:p>
      <w:pPr>
        <w:pStyle w:val="Style6"/>
        <w:keepNext w:val="0"/>
        <w:keepLines w:val="0"/>
        <w:widowControl w:val="0"/>
        <w:shd w:val="clear" w:color="auto" w:fill="auto"/>
        <w:tabs>
          <w:tab w:pos="1366" w:val="left"/>
          <w:tab w:pos="2576"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12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697, 701 ; B.O., ii. 376.</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13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707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377.</w:t>
      </w:r>
    </w:p>
    <w:p>
      <w:pPr>
        <w:pStyle w:val="Style6"/>
        <w:keepNext w:val="0"/>
        <w:keepLines w:val="0"/>
        <w:widowControl w:val="0"/>
        <w:shd w:val="clear" w:color="auto" w:fill="auto"/>
        <w:tabs>
          <w:tab w:pos="3018" w:val="left"/>
        </w:tabs>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14 </w:t>
      </w:r>
      <w:r>
        <w:rPr>
          <w:rFonts w:ascii="Arial" w:eastAsia="Arial" w:hAnsi="Arial" w:cs="Arial"/>
          <w:spacing w:val="0"/>
          <w:w w:val="100"/>
          <w:position w:val="0"/>
          <w:sz w:val="8"/>
          <w:szCs w:val="8"/>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737.</w:t>
        <w:tab/>
      </w:r>
    </w:p>
    <w:p>
      <w:pPr>
        <w:pStyle w:val="Style6"/>
        <w:keepNext w:val="0"/>
        <w:keepLines w:val="0"/>
        <w:widowControl w:val="0"/>
        <w:shd w:val="clear" w:color="auto" w:fill="auto"/>
        <w:tabs>
          <w:tab w:pos="3018"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743.</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16 See </w:t>
      </w:r>
      <w:r>
        <w:rPr>
          <w:spacing w:val="0"/>
          <w:w w:val="100"/>
          <w:position w:val="0"/>
          <w:shd w:val="clear" w:color="auto" w:fill="auto"/>
          <w:lang w:val="la-001" w:eastAsia="la-001" w:bidi="la-001"/>
        </w:rPr>
        <w:t xml:space="preserve">Renaudot, </w:t>
      </w:r>
      <w:r>
        <w:rPr>
          <w:spacing w:val="0"/>
          <w:w w:val="100"/>
          <w:position w:val="0"/>
          <w:shd w:val="clear" w:color="auto" w:fill="auto"/>
          <w:lang w:val="en-US" w:eastAsia="en-US" w:bidi="en-US"/>
        </w:rPr>
        <w:t>ii. 512.</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17 See Payne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379-382, and MS.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207, 3.</w:t>
      </w:r>
    </w:p>
    <w:p>
      <w:pPr>
        <w:pStyle w:val="Style6"/>
        <w:keepNext w:val="0"/>
        <w:keepLines w:val="0"/>
        <w:widowControl w:val="0"/>
        <w:shd w:val="clear" w:color="auto" w:fill="auto"/>
        <w:tabs>
          <w:tab w:pos="2390" w:val="left"/>
        </w:tabs>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18 </w:t>
      </w:r>
      <w:r>
        <w:rPr>
          <w:spacing w:val="0"/>
          <w:w w:val="100"/>
          <w:position w:val="0"/>
          <w:shd w:val="clear" w:color="auto" w:fill="auto"/>
          <w:lang w:val="en-US" w:eastAsia="en-US" w:bidi="en-US"/>
        </w:rPr>
        <w:t xml:space="preserve">Bodl. Hunt. 1 ; Poc. 298 (P.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641) ; Cod. Vat. cciv.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 xml:space="preserve">iii. 489) ;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61, 8.</w:t>
        <w:tab/>
      </w:r>
    </w:p>
    <w:p>
      <w:pPr>
        <w:pStyle w:val="Style6"/>
        <w:keepNext w:val="0"/>
        <w:keepLines w:val="0"/>
        <w:widowControl w:val="0"/>
        <w:shd w:val="clear" w:color="auto" w:fill="auto"/>
        <w:tabs>
          <w:tab w:pos="2550"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19 Bodl. Hunt. 1 ; Cod. Vat. eciv.</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θ Bodl. Hunt. 1 ; Poc. 298 ; Vat. cciv. Edited in part by </w:t>
      </w:r>
      <w:r>
        <w:rPr>
          <w:spacing w:val="0"/>
          <w:w w:val="100"/>
          <w:position w:val="0"/>
          <w:shd w:val="clear" w:color="auto" w:fill="auto"/>
          <w:lang w:val="fr-FR" w:eastAsia="fr-FR" w:bidi="fr-FR"/>
        </w:rPr>
        <w:t xml:space="preserve">Cardāhī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pp. 66-68.</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3i Hunt. 1.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lxii. contains two poems on the love of God and the love of wisdom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108).</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22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523. There is one, also in Arabic, on repentance and death in Cod. Vat. ccxx.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508).</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23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244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See Gibbon’s eulogy of him, </w:t>
      </w:r>
      <w:r>
        <w:rPr>
          <w:i/>
          <w:iCs/>
          <w:spacing w:val="0"/>
          <w:w w:val="100"/>
          <w:position w:val="0"/>
          <w:shd w:val="clear" w:color="auto" w:fill="auto"/>
          <w:lang w:val="en-US" w:eastAsia="en-US" w:bidi="en-US"/>
        </w:rPr>
        <w:t>Decline and Fall of the Roman Empire,</w:t>
      </w:r>
      <w:r>
        <w:rPr>
          <w:spacing w:val="0"/>
          <w:w w:val="100"/>
          <w:position w:val="0"/>
          <w:shd w:val="clear" w:color="auto" w:fill="auto"/>
          <w:lang w:val="en-US" w:eastAsia="en-US" w:bidi="en-US"/>
        </w:rPr>
        <w:t xml:space="preserve"> ed. Smith, 1855, vol. vi. p. 55.</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24 His baptismal name was John, as appears from the inscription on his tombstone ; Badger, </w:t>
      </w:r>
      <w:r>
        <w:rPr>
          <w:i/>
          <w:iCs/>
          <w:spacing w:val="0"/>
          <w:w w:val="100"/>
          <w:position w:val="0"/>
          <w:shd w:val="clear" w:color="auto" w:fill="auto"/>
          <w:lang w:val="en-US" w:eastAsia="en-US" w:bidi="en-US"/>
        </w:rPr>
        <w:t>The Nestorians,</w:t>
      </w:r>
      <w:r>
        <w:rPr>
          <w:spacing w:val="0"/>
          <w:w w:val="100"/>
          <w:position w:val="0"/>
          <w:shd w:val="clear" w:color="auto" w:fill="auto"/>
          <w:lang w:val="en-US" w:eastAsia="en-US" w:bidi="en-US"/>
        </w:rPr>
        <w:t xml:space="preserve"> i. 97. Gregory he probably adopted when he became a bishop.</w:t>
      </w:r>
    </w:p>
    <w:p>
      <w:pPr>
        <w:pStyle w:val="Style6"/>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25</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263.</w:t>
      </w:r>
    </w:p>
    <w:p>
      <w:pPr>
        <w:pStyle w:val="Style6"/>
        <w:keepNext w:val="0"/>
        <w:keepLines w:val="0"/>
        <w:widowControl w:val="0"/>
        <w:shd w:val="clear" w:color="auto" w:fill="auto"/>
        <w:tabs>
          <w:tab w:pos="281"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26</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244;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p. 481 </w:t>
      </w:r>
      <w:r>
        <w:rPr>
          <w:spacing w:val="0"/>
          <w:w w:val="100"/>
          <w:position w:val="0"/>
          <w:shd w:val="clear" w:color="auto" w:fill="auto"/>
          <w:lang w:val="la-001" w:eastAsia="la-001" w:bidi="la-001"/>
        </w:rPr>
        <w:t xml:space="preserve">(transl., </w:t>
      </w:r>
      <w:r>
        <w:rPr>
          <w:spacing w:val="0"/>
          <w:w w:val="100"/>
          <w:position w:val="0"/>
          <w:shd w:val="clear" w:color="auto" w:fill="auto"/>
          <w:lang w:val="en-US" w:eastAsia="en-US" w:bidi="en-US"/>
        </w:rPr>
        <w:t xml:space="preserve">p. 315);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p. 503 (transh, p. 521).</w:t>
      </w:r>
    </w:p>
    <w:p>
      <w:pPr>
        <w:pStyle w:val="Style6"/>
        <w:keepNext w:val="0"/>
        <w:keepLines w:val="0"/>
        <w:widowControl w:val="0"/>
        <w:shd w:val="clear" w:color="auto" w:fill="auto"/>
        <w:tabs>
          <w:tab w:pos="274"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27</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245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pp. 486-487 </w:t>
      </w:r>
      <w:r>
        <w:rPr>
          <w:spacing w:val="0"/>
          <w:w w:val="100"/>
          <w:position w:val="0"/>
          <w:shd w:val="clear" w:color="auto" w:fill="auto"/>
          <w:lang w:val="fr-FR" w:eastAsia="fr-FR" w:bidi="fr-FR"/>
        </w:rPr>
        <w:t xml:space="preserve">(transl., </w:t>
      </w:r>
      <w:r>
        <w:rPr>
          <w:spacing w:val="0"/>
          <w:w w:val="100"/>
          <w:position w:val="0"/>
          <w:shd w:val="clear" w:color="auto" w:fill="auto"/>
          <w:lang w:val="en-US" w:eastAsia="en-US" w:bidi="en-US"/>
        </w:rPr>
        <w:t xml:space="preserve">pp. 318-319) ;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504-505 </w:t>
      </w:r>
      <w:r>
        <w:rPr>
          <w:spacing w:val="0"/>
          <w:w w:val="100"/>
          <w:position w:val="0"/>
          <w:shd w:val="clear" w:color="auto" w:fill="auto"/>
          <w:lang w:val="la-001" w:eastAsia="la-001" w:bidi="la-001"/>
        </w:rPr>
        <w:t xml:space="preserve">(transl., </w:t>
      </w:r>
      <w:r>
        <w:rPr>
          <w:spacing w:val="0"/>
          <w:w w:val="100"/>
          <w:position w:val="0"/>
          <w:shd w:val="clear" w:color="auto" w:fill="auto"/>
          <w:lang w:val="en-US" w:eastAsia="en-US" w:bidi="en-US"/>
        </w:rPr>
        <w:t>p. 522).</w:t>
      </w:r>
    </w:p>
    <w:p>
      <w:pPr>
        <w:pStyle w:val="Style6"/>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28</w:t>
        <w:tab/>
        <w:t xml:space="preserve">See the poem No. 29 in Cod. Vat. clxxiv.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356).</w:t>
      </w:r>
    </w:p>
    <w:p>
      <w:pPr>
        <w:pStyle w:val="Style6"/>
        <w:keepNext w:val="0"/>
        <w:keepLines w:val="0"/>
        <w:widowControl w:val="0"/>
        <w:shd w:val="clear" w:color="auto" w:fill="auto"/>
        <w:tabs>
          <w:tab w:pos="284"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29</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667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245, 374. From </w:t>
      </w:r>
      <w:r>
        <w:rPr>
          <w:spacing w:val="0"/>
          <w:w w:val="100"/>
          <w:position w:val="0"/>
          <w:shd w:val="clear" w:color="auto" w:fill="auto"/>
          <w:lang w:val="de-DE" w:eastAsia="de-DE" w:bidi="de-DE"/>
        </w:rPr>
        <w:t xml:space="preserve">'Akkō </w:t>
      </w:r>
      <w:r>
        <w:rPr>
          <w:spacing w:val="0"/>
          <w:w w:val="100"/>
          <w:position w:val="0"/>
          <w:shd w:val="clear" w:color="auto" w:fill="auto"/>
          <w:lang w:val="fr-FR" w:eastAsia="fr-FR" w:bidi="fr-FR"/>
        </w:rPr>
        <w:t xml:space="preserve">Salībhā </w:t>
      </w:r>
      <w:r>
        <w:rPr>
          <w:spacing w:val="0"/>
          <w:w w:val="100"/>
          <w:position w:val="0"/>
          <w:shd w:val="clear" w:color="auto" w:fill="auto"/>
          <w:lang w:val="en-US" w:eastAsia="en-US" w:bidi="en-US"/>
        </w:rPr>
        <w:t xml:space="preserve">was transferred to Aleppo, under the name of Basil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375), and promoted in December 1252 by the patriarch John bar Ma'dani to be </w:t>
      </w:r>
      <w:r>
        <w:rPr>
          <w:spacing w:val="0"/>
          <w:w w:val="100"/>
          <w:position w:val="0"/>
          <w:shd w:val="clear" w:color="auto" w:fill="auto"/>
          <w:lang w:val="fr-FR" w:eastAsia="fr-FR" w:bidi="fr-FR"/>
        </w:rPr>
        <w:t xml:space="preserve">maphriān, </w:t>
      </w:r>
      <w:r>
        <w:rPr>
          <w:spacing w:val="0"/>
          <w:w w:val="100"/>
          <w:position w:val="0"/>
          <w:shd w:val="clear" w:color="auto" w:fill="auto"/>
          <w:lang w:val="en-US" w:eastAsia="en-US" w:bidi="en-US"/>
        </w:rPr>
        <w:t xml:space="preserve">under the name of Ignatius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377, 455). He died in 1258.</w:t>
      </w:r>
    </w:p>
    <w:p>
      <w:pPr>
        <w:pStyle w:val="Style6"/>
        <w:keepNext w:val="0"/>
        <w:keepLines w:val="0"/>
        <w:widowControl w:val="0"/>
        <w:shd w:val="clear" w:color="auto" w:fill="auto"/>
        <w:tabs>
          <w:tab w:pos="1330"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3θ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260.</w:t>
        <w:tab/>
      </w:r>
    </w:p>
    <w:p>
      <w:pPr>
        <w:pStyle w:val="Style6"/>
        <w:keepNext w:val="0"/>
        <w:keepLines w:val="0"/>
        <w:widowControl w:val="0"/>
        <w:shd w:val="clear" w:color="auto" w:fill="auto"/>
        <w:tabs>
          <w:tab w:pos="1330"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31 </w:t>
      </w:r>
      <w:r>
        <w:rPr>
          <w:i/>
          <w:iCs/>
          <w:spacing w:val="0"/>
          <w:w w:val="100"/>
          <w:position w:val="0"/>
          <w:shd w:val="clear" w:color="auto" w:fill="auto"/>
          <w:lang w:val="en-US" w:eastAsia="en-US" w:bidi="en-US"/>
        </w:rPr>
        <w:t>Ilid.,</w:t>
      </w:r>
      <w:r>
        <w:rPr>
          <w:spacing w:val="0"/>
          <w:w w:val="100"/>
          <w:position w:val="0"/>
          <w:shd w:val="clear" w:color="auto" w:fill="auto"/>
          <w:lang w:val="en-US" w:eastAsia="en-US" w:bidi="en-US"/>
        </w:rPr>
        <w:t xml:space="preserve"> ii. 246;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685.</w:t>
      </w:r>
    </w:p>
    <w:p>
      <w:pPr>
        <w:pStyle w:val="Style6"/>
        <w:keepNext w:val="0"/>
        <w:keepLines w:val="0"/>
        <w:widowControl w:val="0"/>
        <w:shd w:val="clear" w:color="auto" w:fill="auto"/>
        <w:tabs>
          <w:tab w:pos="3468"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32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246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Ecdes.,</w:t>
      </w:r>
      <w:r>
        <w:rPr>
          <w:spacing w:val="0"/>
          <w:w w:val="100"/>
          <w:position w:val="0"/>
          <w:shd w:val="clear" w:color="auto" w:fill="auto"/>
          <w:lang w:val="en-US" w:eastAsia="en-US" w:bidi="en-US"/>
        </w:rPr>
        <w:t xml:space="preserve"> i. 721.</w:t>
        <w:tab/>
      </w:r>
    </w:p>
    <w:p>
      <w:pPr>
        <w:pStyle w:val="Style6"/>
        <w:keepNext w:val="0"/>
        <w:keepLines w:val="0"/>
        <w:widowControl w:val="0"/>
        <w:shd w:val="clear" w:color="auto" w:fill="auto"/>
        <w:tabs>
          <w:tab w:pos="3468"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33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721.</w:t>
      </w:r>
    </w:p>
    <w:p>
      <w:pPr>
        <w:pStyle w:val="Style6"/>
        <w:keepNext w:val="0"/>
        <w:keepLines w:val="0"/>
        <w:widowControl w:val="0"/>
        <w:shd w:val="clear" w:color="auto" w:fill="auto"/>
        <w:tabs>
          <w:tab w:pos="1992"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727.</w:t>
        <w:tab/>
      </w:r>
    </w:p>
    <w:p>
      <w:pPr>
        <w:pStyle w:val="Style6"/>
        <w:keepNext w:val="0"/>
        <w:keepLines w:val="0"/>
        <w:widowControl w:val="0"/>
        <w:shd w:val="clear" w:color="auto" w:fill="auto"/>
        <w:tabs>
          <w:tab w:pos="199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35 He sat from 1264 to 1282.</w:t>
      </w:r>
    </w:p>
    <w:p>
      <w:pPr>
        <w:pStyle w:val="Style6"/>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36</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246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749, ii. 433.</w:t>
      </w:r>
    </w:p>
    <w:p>
      <w:pPr>
        <w:pStyle w:val="Style6"/>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37</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431-467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248-263.</w:t>
      </w:r>
    </w:p>
    <w:p>
      <w:pPr>
        <w:pStyle w:val="Style6"/>
        <w:keepNext w:val="0"/>
        <w:keepLines w:val="0"/>
        <w:widowControl w:val="0"/>
        <w:shd w:val="clear" w:color="auto" w:fill="auto"/>
        <w:tabs>
          <w:tab w:pos="281"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467-485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264-274. Two brothers died before him, Michael and Muwaflak. See the poems Nos. 166 and 170 in Cod. Vat. clxxiv.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358).</w:t>
      </w:r>
    </w:p>
    <w:p>
      <w:pPr>
        <w:pStyle w:val="Style6"/>
        <w:keepNext w:val="0"/>
        <w:keepLines w:val="0"/>
        <w:widowControl w:val="0"/>
        <w:shd w:val="clear" w:color="auto" w:fill="auto"/>
        <w:tabs>
          <w:tab w:pos="322" w:val="left"/>
          <w:tab w:pos="3008" w:val="left"/>
        </w:tabs>
        <w:bidi w:val="0"/>
        <w:spacing w:line="163"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39</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266 ;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473.</w:t>
        <w:tab/>
      </w:r>
    </w:p>
    <w:p>
      <w:pPr>
        <w:pStyle w:val="Style6"/>
        <w:keepNext w:val="0"/>
        <w:keepLines w:val="0"/>
        <w:widowControl w:val="0"/>
        <w:shd w:val="clear" w:color="auto" w:fill="auto"/>
        <w:tabs>
          <w:tab w:pos="322" w:val="left"/>
          <w:tab w:pos="3008" w:val="left"/>
        </w:tabs>
        <w:bidi w:val="0"/>
        <w:spacing w:line="163"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40 </w:t>
      </w:r>
      <w:r>
        <w:rPr>
          <w:i/>
          <w:iCs/>
          <w:smallCaps/>
          <w:spacing w:val="0"/>
          <w:w w:val="100"/>
          <w:position w:val="0"/>
          <w:sz w:val="16"/>
          <w:szCs w:val="16"/>
          <w:shd w:val="clear" w:color="auto" w:fill="auto"/>
          <w:lang w:val="en-US" w:eastAsia="en-US" w:bidi="en-US"/>
        </w:rPr>
        <w:t>b.O.,</w:t>
      </w:r>
      <w:r>
        <w:rPr>
          <w:spacing w:val="0"/>
          <w:w w:val="100"/>
          <w:position w:val="0"/>
          <w:shd w:val="clear" w:color="auto" w:fill="auto"/>
          <w:lang w:val="en-US" w:eastAsia="en-US" w:bidi="en-US"/>
        </w:rPr>
        <w:t xml:space="preserve"> ii. 460.</w:t>
      </w:r>
    </w:p>
    <w:p>
      <w:pPr>
        <w:pStyle w:val="Style6"/>
        <w:keepNext w:val="0"/>
        <w:keepLines w:val="0"/>
        <w:widowControl w:val="0"/>
        <w:shd w:val="clear" w:color="auto" w:fill="auto"/>
        <w:tabs>
          <w:tab w:pos="326"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41</w:t>
        <w:tab/>
      </w:r>
      <w:r>
        <w:rPr>
          <w:i/>
          <w:iCs/>
          <w:spacing w:val="0"/>
          <w:w w:val="100"/>
          <w:position w:val="0"/>
          <w:shd w:val="clear" w:color="auto" w:fill="auto"/>
          <w:lang w:val="en-US" w:eastAsia="en-US" w:bidi="en-US"/>
        </w:rPr>
        <w:t>The Nestorians,</w:t>
      </w:r>
      <w:r>
        <w:rPr>
          <w:spacing w:val="0"/>
          <w:w w:val="100"/>
          <w:position w:val="0"/>
          <w:shd w:val="clear" w:color="auto" w:fill="auto"/>
          <w:lang w:val="en-US" w:eastAsia="en-US" w:bidi="en-US"/>
        </w:rPr>
        <w:t xml:space="preserve"> i. 97. For “1536” read 1537, and for “August” July.</w:t>
      </w:r>
    </w:p>
    <w:p>
      <w:pPr>
        <w:pStyle w:val="Style6"/>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42</w:t>
        <w:tab/>
      </w:r>
      <w:r>
        <w:rPr>
          <w:spacing w:val="0"/>
          <w:w w:val="100"/>
          <w:position w:val="0"/>
          <w:shd w:val="clear" w:color="auto" w:fill="auto"/>
          <w:lang w:val="en-US" w:eastAsia="en-US" w:bidi="en-US"/>
        </w:rPr>
        <w:t xml:space="preserve">Compare Renan,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Philos. Peripat. </w:t>
      </w:r>
      <w:r>
        <w:rPr>
          <w:i/>
          <w:iCs/>
          <w:spacing w:val="0"/>
          <w:w w:val="100"/>
          <w:position w:val="0"/>
          <w:shd w:val="clear" w:color="auto" w:fill="auto"/>
          <w:lang w:val="la-001" w:eastAsia="la-001" w:bidi="la-001"/>
        </w:rPr>
        <w:t>apud 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(1852), p. 65 </w:t>
      </w:r>
      <w:r>
        <w:rPr>
          <w:i/>
          <w:iCs/>
          <w:spacing w:val="0"/>
          <w:w w:val="100"/>
          <w:position w:val="0"/>
          <w:shd w:val="clear" w:color="auto" w:fill="auto"/>
          <w:lang w:val="en-US" w:eastAsia="en-US" w:bidi="en-US"/>
        </w:rPr>
        <w:t>sq.</w:t>
      </w:r>
    </w:p>
    <w:p>
      <w:pPr>
        <w:pStyle w:val="Style6"/>
        <w:keepNext w:val="0"/>
        <w:keepLines w:val="0"/>
        <w:widowControl w:val="0"/>
        <w:shd w:val="clear" w:color="auto" w:fill="auto"/>
        <w:tabs>
          <w:tab w:pos="284"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43</w:t>
        <w:tab/>
      </w:r>
      <w:r>
        <w:rPr>
          <w:spacing w:val="0"/>
          <w:w w:val="100"/>
          <w:position w:val="0"/>
          <w:shd w:val="clear" w:color="auto" w:fill="auto"/>
          <w:lang w:val="en-US" w:eastAsia="en-US" w:bidi="en-US"/>
        </w:rPr>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 1017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138 ; Berlin, Alt. Best. 38,2, 39 ;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140, 2, and 198, 8 ; Cambridge, collection of the S.P.C.K.</w:t>
      </w:r>
    </w:p>
    <w:p>
      <w:pPr>
        <w:pStyle w:val="Style6"/>
        <w:keepNext w:val="0"/>
        <w:keepLines w:val="0"/>
        <w:widowControl w:val="0"/>
        <w:shd w:val="clear" w:color="auto" w:fill="auto"/>
        <w:tabs>
          <w:tab w:pos="284"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44</w:t>
        <w:tab/>
      </w:r>
      <w:r>
        <w:rPr>
          <w:spacing w:val="0"/>
          <w:w w:val="100"/>
          <w:position w:val="0"/>
          <w:shd w:val="clear" w:color="auto" w:fill="auto"/>
          <w:lang w:val="en-US" w:eastAsia="en-US" w:bidi="en-US"/>
        </w:rPr>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 1017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138 (Syr. and Arab.) ; Berlin, Alt. Best. 38, 4 ;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91 (Syr. and Arab.), also 140, 1, and 198, 9 ; Cambridge, coll, of the S.P.C.K.</w:t>
      </w:r>
    </w:p>
    <w:p>
      <w:pPr>
        <w:pStyle w:val="Style6"/>
        <w:keepNext w:val="0"/>
        <w:keepLines w:val="0"/>
        <w:widowControl w:val="0"/>
        <w:shd w:val="clear" w:color="auto" w:fill="auto"/>
        <w:tabs>
          <w:tab w:pos="281"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45</w:t>
        <w:tab/>
        <w:t xml:space="preserve">Palat. Medic, clxxxvi.-vii., clxxvi.-ix. (=clxxxvi. ; see Renan,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Philos. Peripat. </w:t>
      </w:r>
      <w:r>
        <w:rPr>
          <w:i/>
          <w:iCs/>
          <w:spacing w:val="0"/>
          <w:w w:val="100"/>
          <w:position w:val="0"/>
          <w:shd w:val="clear" w:color="auto" w:fill="auto"/>
          <w:lang w:val="la-001" w:eastAsia="la-001" w:bidi="la-001"/>
        </w:rPr>
        <w:t>apud 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 66); Bodl. Hunt. 1 (imperf.); compare also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Medic, clxxxiii.-iv. and lxii. (p. 109).</w:t>
      </w:r>
    </w:p>
    <w:p>
      <w:pPr>
        <w:widowControl w:val="0"/>
        <w:spacing w:line="1" w:lineRule="exact"/>
      </w:pPr>
    </w:p>
    <w:sectPr>
      <w:footnotePr>
        <w:pos w:val="pageBottom"/>
        <w:numFmt w:val="decimal"/>
        <w:numRestart w:val="continuous"/>
      </w:footnotePr>
      <w:type w:val="continuous"/>
      <w:pgSz w:w="12240" w:h="16840"/>
      <w:pgMar w:top="1318" w:left="1574" w:right="1321"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