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 xml:space="preserve">of this large work is the </w:t>
      </w:r>
      <w:r>
        <w:rPr>
          <w:i/>
          <w:iCs/>
          <w:spacing w:val="0"/>
          <w:w w:val="100"/>
          <w:position w:val="0"/>
          <w:shd w:val="clear" w:color="auto" w:fill="auto"/>
          <w:lang w:val="fr-FR" w:eastAsia="fr-FR" w:bidi="fr-FR"/>
        </w:rPr>
        <w:t>Tēgéraih Tēgérāthā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“Mercatura Mercaturarum,” </w:t>
      </w:r>
      <w:r>
        <w:rPr>
          <w:spacing w:val="0"/>
          <w:w w:val="100"/>
          <w:position w:val="0"/>
          <w:shd w:val="clear" w:color="auto" w:fill="auto"/>
          <w:lang w:val="en-US" w:eastAsia="en-US" w:bidi="en-US"/>
        </w:rPr>
        <w:t>which goes over the same ground in briefer terms.@@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To this class too belongs a poem “On the Soul, according to the views of the Peripatetics,” which is described as “ </w:t>
      </w:r>
      <w:r>
        <w:rPr>
          <w:spacing w:val="0"/>
          <w:w w:val="100"/>
          <w:position w:val="0"/>
          <w:shd w:val="clear" w:color="auto" w:fill="auto"/>
          <w:lang w:val="de-DE" w:eastAsia="de-DE" w:bidi="de-DE"/>
        </w:rPr>
        <w:t xml:space="preserve">memrā shināyā,”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according to Assemani, riming in the letter sA.@@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also translated into Syriac Ibn </w:t>
      </w:r>
      <w:r>
        <w:rPr>
          <w:spacing w:val="0"/>
          <w:w w:val="100"/>
          <w:position w:val="0"/>
          <w:shd w:val="clear" w:color="auto" w:fill="auto"/>
          <w:lang w:val="fr-FR" w:eastAsia="fr-FR" w:bidi="fr-FR"/>
        </w:rPr>
        <w:t xml:space="preserve">Sīnā’s </w:t>
      </w:r>
      <w:r>
        <w:rPr>
          <w:i/>
          <w:iCs/>
          <w:spacing w:val="0"/>
          <w:w w:val="100"/>
          <w:position w:val="0"/>
          <w:shd w:val="clear" w:color="auto" w:fill="auto"/>
          <w:lang w:val="fr-FR" w:eastAsia="fr-FR" w:bidi="fr-FR"/>
        </w:rPr>
        <w:t xml:space="preserve">Kitāb al-ishārāt </w:t>
      </w:r>
      <w:r>
        <w:rPr>
          <w:i/>
          <w:iCs/>
          <w:spacing w:val="0"/>
          <w:w w:val="100"/>
          <w:position w:val="0"/>
          <w:shd w:val="clear" w:color="auto" w:fill="auto"/>
          <w:lang w:val="en-US" w:eastAsia="en-US" w:bidi="en-US"/>
        </w:rPr>
        <w:t xml:space="preserve">wa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t-tan- </w:t>
      </w:r>
      <w:r>
        <w:rPr>
          <w:i/>
          <w:iCs/>
          <w:spacing w:val="0"/>
          <w:w w:val="100"/>
          <w:position w:val="0"/>
          <w:shd w:val="clear" w:color="auto" w:fill="auto"/>
          <w:lang w:val="fr-FR" w:eastAsia="fr-FR" w:bidi="fr-FR"/>
        </w:rPr>
        <w:t>bihāt,</w:t>
      </w:r>
      <w:r>
        <w:rPr>
          <w:spacing w:val="0"/>
          <w:w w:val="100"/>
          <w:position w:val="0"/>
          <w:shd w:val="clear" w:color="auto" w:fill="auto"/>
          <w:lang w:val="en-US" w:eastAsia="en-US" w:bidi="en-US"/>
        </w:rPr>
        <w:t>@@</w:t>
      </w:r>
      <w:r>
        <w:rPr>
          <w:i/>
          <w:iCs/>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under the title of </w:t>
      </w:r>
      <w:r>
        <w:rPr>
          <w:i/>
          <w:iCs/>
          <w:spacing w:val="0"/>
          <w:w w:val="100"/>
          <w:position w:val="0"/>
          <w:shd w:val="clear" w:color="auto" w:fill="auto"/>
          <w:lang w:val="fr-FR" w:eastAsia="fr-FR" w:bidi="fr-FR"/>
        </w:rPr>
        <w:t>Kéthābhā dhé-Remze wa-Meīrānwāihā,</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i/>
          <w:iCs/>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another work of the same class, entitled </w:t>
      </w:r>
      <w:r>
        <w:rPr>
          <w:i/>
          <w:iCs/>
          <w:spacing w:val="0"/>
          <w:w w:val="100"/>
          <w:position w:val="0"/>
          <w:shd w:val="clear" w:color="auto" w:fill="auto"/>
          <w:lang w:val="en-US" w:eastAsia="en-US" w:bidi="en-US"/>
        </w:rPr>
        <w:t xml:space="preserve">Zubdat </w:t>
      </w:r>
      <w:r>
        <w:rPr>
          <w:i/>
          <w:iCs/>
          <w:spacing w:val="0"/>
          <w:w w:val="100"/>
          <w:position w:val="0"/>
          <w:shd w:val="clear" w:color="auto" w:fill="auto"/>
          <w:lang w:val="de-DE" w:eastAsia="de-DE" w:bidi="de-DE"/>
        </w:rPr>
        <w:t>al-Asrār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or “the Cream of Secrets,” by his elder contemporary, Athir ad-din Mufaddal ibn Omar al-Abhari (died in 1262).@@</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Nor did he neglect the study of mathematics and astronomy. In 1268 we find him lecturing on Euclid in the new convent at </w:t>
      </w:r>
      <w:r>
        <w:rPr>
          <w:spacing w:val="0"/>
          <w:w w:val="100"/>
          <w:position w:val="0"/>
          <w:shd w:val="clear" w:color="auto" w:fill="auto"/>
          <w:lang w:val="fr-FR" w:eastAsia="fr-FR" w:bidi="fr-FR"/>
        </w:rPr>
        <w:t xml:space="preserve">Marāghah, </w:t>
      </w:r>
      <w:r>
        <w:rPr>
          <w:spacing w:val="0"/>
          <w:w w:val="100"/>
          <w:position w:val="0"/>
          <w:shd w:val="clear" w:color="auto" w:fill="auto"/>
          <w:lang w:val="en-US" w:eastAsia="en-US" w:bidi="en-US"/>
        </w:rPr>
        <w:t xml:space="preserve">and again in 1272, at the same place, on the </w:t>
      </w:r>
      <w:r>
        <w:rPr>
          <w:i/>
          <w:iCs/>
          <w:spacing w:val="0"/>
          <w:w w:val="100"/>
          <w:position w:val="0"/>
          <w:shd w:val="clear" w:color="auto" w:fill="auto"/>
          <w:lang w:val="en-US" w:eastAsia="en-US" w:bidi="en-US"/>
        </w:rPr>
        <w:t>Megistc</w:t>
      </w:r>
      <w:r>
        <w:rPr>
          <w:spacing w:val="0"/>
          <w:w w:val="100"/>
          <w:position w:val="0"/>
          <w:shd w:val="clear" w:color="auto" w:fill="auto"/>
          <w:lang w:val="en-US" w:eastAsia="en-US" w:bidi="en-US"/>
        </w:rPr>
        <w:t xml:space="preserve"> ('H </w:t>
      </w:r>
      <w:r>
        <w:rPr>
          <w:i/>
          <w:iCs/>
          <w:spacing w:val="0"/>
          <w:w w:val="100"/>
          <w:position w:val="0"/>
          <w:sz w:val="14"/>
          <w:szCs w:val="14"/>
          <w:shd w:val="clear" w:color="auto" w:fill="auto"/>
          <w:lang w:val="en-US" w:eastAsia="en-US" w:bidi="en-US"/>
        </w:rPr>
        <w:t>μeya</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 xml:space="preserve">η </w:t>
      </w:r>
      <w:r>
        <w:rPr>
          <w:i/>
          <w:iCs/>
          <w:spacing w:val="0"/>
          <w:w w:val="100"/>
          <w:position w:val="0"/>
          <w:sz w:val="14"/>
          <w:szCs w:val="14"/>
          <w:shd w:val="clear" w:color="auto" w:fill="auto"/>
          <w:lang w:val="el-GR" w:eastAsia="el-GR" w:bidi="el-GR"/>
        </w:rPr>
        <w:t>σύνταξις)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of Ptolemy.@@</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He drew up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κy,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set of astronomical tables or astronomical almanac, for the use of tiros@@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but his principal work in this branch of science is the </w:t>
      </w:r>
      <w:r>
        <w:rPr>
          <w:i/>
          <w:iCs/>
          <w:spacing w:val="0"/>
          <w:w w:val="100"/>
          <w:position w:val="0"/>
          <w:shd w:val="clear" w:color="auto" w:fill="auto"/>
          <w:lang w:val="fr-FR" w:eastAsia="fr-FR" w:bidi="fr-FR"/>
        </w:rPr>
        <w:t>Sullākā Haunānāyā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“Ascent of the Mind,” a complete treatise on astronomy and cosmography, which he composed in 1279.@@</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His medical writings are more numerous, for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was famous as a physician@@</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and had been in attendance as such on the Tatar “king of kings ” in 1263.@@</w:t>
      </w:r>
      <w:r>
        <w:rPr>
          <w:spacing w:val="0"/>
          <w:w w:val="100"/>
          <w:position w:val="0"/>
          <w:shd w:val="clear" w:color="auto" w:fill="auto"/>
          <w:vertAlign w:val="superscript"/>
          <w:lang w:val="en-US" w:eastAsia="en-US" w:bidi="en-US"/>
        </w:rPr>
        <w:t xml:space="preserve">10 </w:t>
      </w:r>
      <w:r>
        <w:rPr>
          <w:spacing w:val="0"/>
          <w:w w:val="100"/>
          <w:position w:val="0"/>
          <w:shd w:val="clear" w:color="auto" w:fill="auto"/>
          <w:lang w:val="en-US" w:eastAsia="en-US" w:bidi="en-US"/>
        </w:rPr>
        <w:t xml:space="preserve">He made, for example, a translation and an abridgement of Dios- corides’s treatise </w:t>
      </w:r>
      <w:r>
        <w:rPr>
          <w:i/>
          <w:iCs/>
          <w:spacing w:val="0"/>
          <w:w w:val="100"/>
          <w:position w:val="0"/>
          <w:sz w:val="14"/>
          <w:szCs w:val="14"/>
          <w:shd w:val="clear" w:color="auto" w:fill="auto"/>
          <w:lang w:val="en-US" w:eastAsia="en-US" w:bidi="en-US"/>
        </w:rPr>
        <w:t>Veρl</w:t>
      </w:r>
      <w:r>
        <w:rPr>
          <w:spacing w:val="0"/>
          <w:w w:val="100"/>
          <w:position w:val="0"/>
          <w:shd w:val="clear" w:color="auto" w:fill="auto"/>
          <w:lang w:val="en-US" w:eastAsia="en-US" w:bidi="en-US"/>
        </w:rPr>
        <w:t xml:space="preserve"> i∕ληs </w:t>
      </w:r>
      <w:r>
        <w:rPr>
          <w:i/>
          <w:iCs/>
          <w:spacing w:val="0"/>
          <w:w w:val="100"/>
          <w:position w:val="0"/>
          <w:shd w:val="clear" w:color="auto" w:fill="auto"/>
          <w:lang w:val="el-GR" w:eastAsia="el-GR" w:bidi="el-GR"/>
        </w:rPr>
        <w:t>ιατρικής</w:t>
      </w:r>
      <w:r>
        <w:rPr>
          <w:spacing w:val="0"/>
          <w:w w:val="100"/>
          <w:position w:val="0"/>
          <w:shd w:val="clear" w:color="auto" w:fill="auto"/>
          <w:lang w:val="el-GR" w:eastAsia="el-GR" w:bidi="el-GR"/>
        </w:rPr>
        <w:t xml:space="preserve"> </w:t>
      </w:r>
      <w:r>
        <w:rPr>
          <w:spacing w:val="0"/>
          <w:w w:val="100"/>
          <w:position w:val="0"/>
          <w:shd w:val="clear" w:color="auto" w:fill="auto"/>
          <w:lang w:val="la-001" w:eastAsia="la-001" w:bidi="la-001"/>
        </w:rPr>
        <w:t xml:space="preserve">(De Medicamentis Simplicibus), </w:t>
      </w:r>
      <w:r>
        <w:rPr>
          <w:spacing w:val="0"/>
          <w:w w:val="100"/>
          <w:position w:val="0"/>
          <w:shd w:val="clear" w:color="auto" w:fill="auto"/>
          <w:lang w:val="en-US" w:eastAsia="en-US" w:bidi="en-US"/>
        </w:rPr>
        <w:t xml:space="preserve">under the title of </w:t>
      </w:r>
      <w:r>
        <w:rPr>
          <w:i/>
          <w:iCs/>
          <w:spacing w:val="0"/>
          <w:w w:val="100"/>
          <w:position w:val="0"/>
          <w:shd w:val="clear" w:color="auto" w:fill="auto"/>
          <w:lang w:val="fr-FR" w:eastAsia="fr-FR" w:bidi="fr-FR"/>
        </w:rPr>
        <w:t>Kéthābhā dhé-Bhioskorīdhīs,</w:t>
      </w:r>
      <w:r>
        <w:rPr>
          <w:spacing w:val="0"/>
          <w:w w:val="100"/>
          <w:position w:val="0"/>
          <w:shd w:val="clear" w:color="auto" w:fill="auto"/>
          <w:lang w:val="en-US" w:eastAsia="en-US" w:bidi="en-US"/>
        </w:rPr>
        <w:t>@@</w:t>
      </w:r>
      <w:r>
        <w:rPr>
          <w:i/>
          <w:iCs/>
          <w:spacing w:val="0"/>
          <w:w w:val="100"/>
          <w:position w:val="0"/>
          <w:shd w:val="clear" w:color="auto" w:fill="auto"/>
          <w:vertAlign w:val="superscript"/>
          <w:lang w:val="fr-FR" w:eastAsia="fr-FR" w:bidi="fr-FR"/>
        </w:rPr>
        <w:t>11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wrote a com</w:t>
        <w:softHyphen/>
        <w:t xml:space="preserve">mentary on the </w:t>
      </w:r>
      <w:r>
        <w:rPr>
          <w:i/>
          <w:iCs/>
          <w:spacing w:val="0"/>
          <w:w w:val="100"/>
          <w:position w:val="0"/>
          <w:shd w:val="clear" w:color="auto" w:fill="auto"/>
          <w:lang w:val="en-US" w:eastAsia="en-US" w:bidi="en-US"/>
        </w:rPr>
        <w:t>Aphorisms</w:t>
      </w:r>
      <w:r>
        <w:rPr>
          <w:spacing w:val="0"/>
          <w:w w:val="100"/>
          <w:position w:val="0"/>
          <w:shd w:val="clear" w:color="auto" w:fill="auto"/>
          <w:lang w:val="en-US" w:eastAsia="en-US" w:bidi="en-US"/>
        </w:rPr>
        <w:t xml:space="preserve"> of Hippocrates in Arabic,@@</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and on the </w:t>
      </w:r>
      <w:r>
        <w:rPr>
          <w:i/>
          <w:iCs/>
          <w:spacing w:val="0"/>
          <w:w w:val="100"/>
          <w:position w:val="0"/>
          <w:shd w:val="clear" w:color="auto" w:fill="auto"/>
          <w:lang w:val="fr-FR" w:eastAsia="fr-FR" w:bidi="fr-FR"/>
        </w:rPr>
        <w:t>Quæstiones Medicæ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Honain ibn Ishak in Syriac.@@</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He also pub</w:t>
        <w:softHyphen/>
        <w:t xml:space="preserve">lished the </w:t>
      </w:r>
      <w:r>
        <w:rPr>
          <w:i/>
          <w:iCs/>
          <w:spacing w:val="0"/>
          <w:w w:val="100"/>
          <w:position w:val="0"/>
          <w:shd w:val="clear" w:color="auto" w:fill="auto"/>
          <w:lang w:val="fr-FR" w:eastAsia="fr-FR" w:bidi="fr-FR"/>
        </w:rPr>
        <w:t>Quæstiones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an abridged Syriac translation.@@</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Further, he is said to have written commentaries in Arabic on Galen’s treatises </w:t>
      </w:r>
      <w:r>
        <w:rPr>
          <w:i/>
          <w:iCs/>
          <w:spacing w:val="0"/>
          <w:w w:val="100"/>
          <w:position w:val="0"/>
          <w:shd w:val="clear" w:color="auto" w:fill="auto"/>
          <w:lang w:val="la-001" w:eastAsia="la-001" w:bidi="la-001"/>
        </w:rPr>
        <w:t>De Elementis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(∏epι </w:t>
      </w:r>
      <w:r>
        <w:rPr>
          <w:i/>
          <w:iCs/>
          <w:spacing w:val="0"/>
          <w:w w:val="100"/>
          <w:position w:val="0"/>
          <w:sz w:val="14"/>
          <w:szCs w:val="14"/>
          <w:shd w:val="clear" w:color="auto" w:fill="auto"/>
          <w:lang w:val="el-GR" w:eastAsia="el-GR" w:bidi="el-GR"/>
        </w:rPr>
        <w:t xml:space="preserve">των καθ' Ίττποκράτην </w:t>
      </w:r>
      <w:r>
        <w:rPr>
          <w:i/>
          <w:iCs/>
          <w:spacing w:val="0"/>
          <w:w w:val="100"/>
          <w:position w:val="0"/>
          <w:sz w:val="14"/>
          <w:szCs w:val="14"/>
          <w:shd w:val="clear" w:color="auto" w:fill="auto"/>
          <w:lang w:val="en-US" w:eastAsia="en-US" w:bidi="en-US"/>
        </w:rPr>
        <w:t>στοιχcιωv)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Be </w:t>
      </w:r>
      <w:r>
        <w:rPr>
          <w:i/>
          <w:iCs/>
          <w:spacing w:val="0"/>
          <w:w w:val="100"/>
          <w:position w:val="0"/>
          <w:shd w:val="clear" w:color="auto" w:fill="auto"/>
          <w:lang w:val="la-001" w:eastAsia="la-001" w:bidi="la-001"/>
        </w:rPr>
        <w:t>Tempera</w:t>
        <w:softHyphen/>
        <w:t>mentis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(∏epl </w:t>
      </w:r>
      <w:r>
        <w:rPr>
          <w:spacing w:val="0"/>
          <w:w w:val="100"/>
          <w:position w:val="0"/>
          <w:shd w:val="clear" w:color="auto" w:fill="auto"/>
          <w:lang w:val="el-GR" w:eastAsia="el-GR" w:bidi="el-GR"/>
        </w:rPr>
        <w:t>κράσεων).</w:t>
      </w:r>
      <w:r>
        <w:rPr>
          <w:spacing w:val="0"/>
          <w:w w:val="100"/>
          <w:position w:val="0"/>
          <w:shd w:val="clear" w:color="auto" w:fill="auto"/>
          <w:lang w:val="en-US" w:eastAsia="en-US" w:bidi="en-US"/>
        </w:rPr>
        <w:t>@@</w:t>
      </w:r>
      <w:r>
        <w:rPr>
          <w:spacing w:val="0"/>
          <w:w w:val="100"/>
          <w:position w:val="0"/>
          <w:shd w:val="clear" w:color="auto" w:fill="auto"/>
          <w:vertAlign w:val="superscript"/>
          <w:lang w:val="el-GR" w:eastAsia="el-GR" w:bidi="el-GR"/>
        </w:rPr>
        <w:t>15</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He made an abridged version in Arabic of </w:t>
      </w:r>
      <w:r>
        <w:rPr>
          <w:spacing w:val="0"/>
          <w:w w:val="100"/>
          <w:position w:val="0"/>
          <w:shd w:val="clear" w:color="auto" w:fill="auto"/>
          <w:lang w:val="de-DE" w:eastAsia="de-DE" w:bidi="de-DE"/>
        </w:rPr>
        <w:t>al-Ghāfiki’s</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16</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Book of Simples” </w:t>
      </w:r>
      <w:r>
        <w:rPr>
          <w:i/>
          <w:iCs/>
          <w:spacing w:val="0"/>
          <w:w w:val="100"/>
          <w:position w:val="0"/>
          <w:shd w:val="clear" w:color="auto" w:fill="auto"/>
          <w:lang w:val="en-US" w:eastAsia="en-US" w:bidi="en-US"/>
        </w:rPr>
        <w:t>(al-adwiyah al-mτιfradah),</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and left an unfinished Syriac translation of the </w:t>
      </w:r>
      <w:r>
        <w:rPr>
          <w:i/>
          <w:iCs/>
          <w:spacing w:val="0"/>
          <w:w w:val="100"/>
          <w:position w:val="0"/>
          <w:shd w:val="clear" w:color="auto" w:fill="auto"/>
          <w:lang w:val="en-US" w:eastAsia="en-US" w:bidi="en-US"/>
        </w:rPr>
        <w:t xml:space="preserve">Canon </w:t>
      </w:r>
      <w:r>
        <w:rPr>
          <w:i/>
          <w:iCs/>
          <w:spacing w:val="0"/>
          <w:w w:val="100"/>
          <w:position w:val="0"/>
          <w:shd w:val="clear" w:color="auto" w:fill="auto"/>
          <w:lang w:val="fr-FR" w:eastAsia="fr-FR" w:bidi="fr-FR"/>
        </w:rPr>
        <w:t xml:space="preserve">Çal-Kānun </w:t>
      </w:r>
      <w:r>
        <w:rPr>
          <w:i/>
          <w:iCs/>
          <w:spacing w:val="0"/>
          <w:w w:val="100"/>
          <w:position w:val="0"/>
          <w:shd w:val="clear" w:color="auto" w:fill="auto"/>
          <w:lang w:val="en-US" w:eastAsia="en-US" w:bidi="en-US"/>
        </w:rPr>
        <w:t>fi't-Tibb)</w:t>
      </w:r>
      <w:r>
        <w:rPr>
          <w:spacing w:val="0"/>
          <w:w w:val="100"/>
          <w:position w:val="0"/>
          <w:shd w:val="clear" w:color="auto" w:fill="auto"/>
          <w:lang w:val="en-US" w:eastAsia="en-US" w:bidi="en-US"/>
        </w:rPr>
        <w:t xml:space="preserve"> of Ibn </w:t>
      </w:r>
      <w:r>
        <w:rPr>
          <w:spacing w:val="0"/>
          <w:w w:val="100"/>
          <w:position w:val="0"/>
          <w:shd w:val="clear" w:color="auto" w:fill="auto"/>
          <w:lang w:val="fr-FR" w:eastAsia="fr-FR" w:bidi="fr-FR"/>
        </w:rPr>
        <w:t>Sīnā.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large medical treatise of his own composi</w:t>
        <w:softHyphen/>
        <w:t>tion in Syriac is mentioned, but no .special title is given.@@</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As a grammarian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deserved well of his country, and his writings on this subject are now well known and appreciated by Orientalists. By making use of the work of previous grammarians, especially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he has succeeded in giving a very full sketch of the language according to the Oriental system, with many valuable obserVations as to dialectic differences, &amp;c. The larger grammar bears the title of </w:t>
      </w:r>
      <w:r>
        <w:rPr>
          <w:i/>
          <w:iCs/>
          <w:spacing w:val="0"/>
          <w:w w:val="100"/>
          <w:position w:val="0"/>
          <w:shd w:val="clear" w:color="auto" w:fill="auto"/>
          <w:lang w:val="fr-FR" w:eastAsia="fr-FR" w:bidi="fr-FR"/>
        </w:rPr>
        <w:t>Kéthābhā dhé-Semlie,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Book of Lights ” or “Rays.”@@</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It has been published, according to the Paris MS.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 xml:space="preserve">166, by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Martin.@@</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The smaller metrical grammar, </w:t>
      </w:r>
      <w:r>
        <w:rPr>
          <w:i/>
          <w:iCs/>
          <w:spacing w:val="0"/>
          <w:w w:val="100"/>
          <w:position w:val="0"/>
          <w:shd w:val="clear" w:color="auto" w:fill="auto"/>
          <w:lang w:val="fr-FR" w:eastAsia="fr-FR" w:bidi="fr-FR"/>
        </w:rPr>
        <w:t>Kéthābhā dhé-Ghrammaiikī,</w:t>
      </w:r>
      <w:r>
        <w:rPr>
          <w:spacing w:val="0"/>
          <w:w w:val="100"/>
          <w:position w:val="0"/>
          <w:shd w:val="clear" w:color="auto" w:fill="auto"/>
          <w:lang w:val="en-US" w:eastAsia="en-US" w:bidi="en-US"/>
        </w:rPr>
        <w:t>@@</w:t>
      </w:r>
      <w:r>
        <w:rPr>
          <w:i/>
          <w:iCs/>
          <w:spacing w:val="0"/>
          <w:w w:val="100"/>
          <w:position w:val="0"/>
          <w:shd w:val="clear" w:color="auto" w:fill="auto"/>
          <w:vertAlign w:val="superscript"/>
          <w:lang w:val="fr-FR" w:eastAsia="fr-FR" w:bidi="fr-FR"/>
        </w:rPr>
        <w:t>22</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edited so long ago as 1843 by Professor Bertheau of Gottingen, according to the MS. Orient. 18 in the library of that university, but without the fifth section </w:t>
      </w:r>
      <w:r>
        <w:rPr>
          <w:i/>
          <w:iCs/>
          <w:spacing w:val="0"/>
          <w:w w:val="100"/>
          <w:position w:val="0"/>
          <w:shd w:val="clear" w:color="auto" w:fill="auto"/>
          <w:lang w:val="en-US" w:eastAsia="en-US" w:bidi="en-US"/>
        </w:rPr>
        <w:t xml:space="preserve">Be </w:t>
      </w:r>
      <w:r>
        <w:rPr>
          <w:i/>
          <w:iCs/>
          <w:spacing w:val="0"/>
          <w:w w:val="100"/>
          <w:position w:val="0"/>
          <w:shd w:val="clear" w:color="auto" w:fill="auto"/>
          <w:lang w:val="la-001" w:eastAsia="la-001" w:bidi="la-001"/>
        </w:rPr>
        <w:t xml:space="preserve">Vocibus </w:t>
      </w:r>
      <w:r>
        <w:rPr>
          <w:i/>
          <w:iCs/>
          <w:spacing w:val="0"/>
          <w:w w:val="100"/>
          <w:position w:val="0"/>
          <w:shd w:val="clear" w:color="auto" w:fill="auto"/>
          <w:lang w:val="fr-FR" w:eastAsia="fr-FR" w:bidi="fr-FR"/>
        </w:rPr>
        <w:t>Æquivocis.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Martin has republished it in his </w:t>
      </w:r>
      <w:r>
        <w:rPr>
          <w:i/>
          <w:iCs/>
          <w:spacing w:val="0"/>
          <w:w w:val="100"/>
          <w:position w:val="0"/>
          <w:shd w:val="clear" w:color="auto" w:fill="auto"/>
          <w:lang w:val="fr-FR" w:eastAsia="fr-FR" w:bidi="fr-FR"/>
        </w:rPr>
        <w:t xml:space="preserve">Œuvres Grammaticales </w:t>
      </w:r>
      <w:r>
        <w:rPr>
          <w:i/>
          <w:iCs/>
          <w:spacing w:val="0"/>
          <w:w w:val="100"/>
          <w:position w:val="0"/>
          <w:shd w:val="clear" w:color="auto" w:fill="auto"/>
          <w:lang w:val="en-US" w:eastAsia="en-US" w:bidi="en-US"/>
        </w:rPr>
        <w:t xml:space="preserve">d’Abou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l Faradj,</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ii., including the fifth section, according to the Paris MS.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167.@@</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 third, still smaller grammar, </w:t>
      </w:r>
      <w:r>
        <w:rPr>
          <w:i/>
          <w:iCs/>
          <w:spacing w:val="0"/>
          <w:w w:val="100"/>
          <w:position w:val="0"/>
          <w:shd w:val="clear" w:color="auto" w:fill="auto"/>
          <w:lang w:val="fr-FR" w:eastAsia="fr-FR" w:bidi="fr-FR"/>
        </w:rPr>
        <w:t>Kéthābhā dha-Bhélésusīthā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“the Book of the Spark,” was left unfinished by the author.@@</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As a theologian, </w:t>
      </w:r>
      <w:r>
        <w:rPr>
          <w:spacing w:val="0"/>
          <w:w w:val="100"/>
          <w:position w:val="0"/>
          <w:shd w:val="clear" w:color="auto" w:fill="auto"/>
          <w:lang w:val="fr-FR" w:eastAsia="fr-FR" w:bidi="fr-FR"/>
        </w:rPr>
        <w:t xml:space="preserve">Bar-Hebræus’s </w:t>
      </w:r>
      <w:r>
        <w:rPr>
          <w:spacing w:val="0"/>
          <w:w w:val="100"/>
          <w:position w:val="0"/>
          <w:shd w:val="clear" w:color="auto" w:fill="auto"/>
          <w:lang w:val="en-US" w:eastAsia="en-US" w:bidi="en-US"/>
        </w:rPr>
        <w:t xml:space="preserve">most useful work undeniably is the </w:t>
      </w:r>
      <w:r>
        <w:rPr>
          <w:i/>
          <w:iCs/>
          <w:spacing w:val="0"/>
          <w:w w:val="100"/>
          <w:position w:val="0"/>
          <w:shd w:val="clear" w:color="auto" w:fill="auto"/>
          <w:lang w:val="en-US" w:eastAsia="en-US" w:bidi="en-US"/>
        </w:rPr>
        <w:t xml:space="preserve">Ausar </w:t>
      </w:r>
      <w:r>
        <w:rPr>
          <w:i/>
          <w:iCs/>
          <w:spacing w:val="0"/>
          <w:w w:val="100"/>
          <w:position w:val="0"/>
          <w:shd w:val="clear" w:color="auto" w:fill="auto"/>
          <w:lang w:val="fr-FR" w:eastAsia="fr-FR" w:bidi="fr-FR"/>
        </w:rPr>
        <w:t>Rāzē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“Storehouse of Secrets,” the </w:t>
      </w:r>
      <w:r>
        <w:rPr>
          <w:i/>
          <w:iCs/>
          <w:spacing w:val="0"/>
          <w:w w:val="100"/>
          <w:position w:val="0"/>
          <w:shd w:val="clear" w:color="auto" w:fill="auto"/>
          <w:lang w:val="la-001" w:eastAsia="la-001" w:bidi="la-001"/>
        </w:rPr>
        <w:t>Horreum Mysteriorum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it is commonly called.@@</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This is a critical and doctrinal commentary on the text of the Scriptures of the Old and New Testaments, based on the </w:t>
      </w:r>
      <w:r>
        <w:rPr>
          <w:spacing w:val="0"/>
          <w:w w:val="100"/>
          <w:position w:val="0"/>
          <w:shd w:val="clear" w:color="auto" w:fill="auto"/>
          <w:lang w:val="fr-FR" w:eastAsia="fr-FR" w:bidi="fr-FR"/>
        </w:rPr>
        <w:t xml:space="preserve">Pēshīttā, </w:t>
      </w:r>
      <w:r>
        <w:rPr>
          <w:spacing w:val="0"/>
          <w:w w:val="100"/>
          <w:position w:val="0"/>
          <w:shd w:val="clear" w:color="auto" w:fill="auto"/>
          <w:lang w:val="en-US" w:eastAsia="en-US" w:bidi="en-US"/>
        </w:rPr>
        <w:t>but taking note of the various readings of the Hebrew text, the LXX. and other Greek versions, the later Syriac translations, and even the Armenian and Coptic, besides noting differences of reading be</w:t>
        <w:softHyphen/>
        <w:t>tween the Nestorians and Jacobites. The doctrinal portion is drawn from the Greek fathers and previous Syrian theologians, of course of the Monophysite school.@@</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Ménārath Kudhshē,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 Lamp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Sanctuary,” is a treatise on the “bases” or first principles on which the church is established.@@</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It deals in twelve “bases ” with the following subjects:—(1) of knowledge in general, (2) of the nature of the universe, (3) of theology, (4) of the incarnation, (5) of the knowledge of celestial substances,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angels, (6) of the earthly priesthood, (7) of the evil spirits, (8) of the rational soul, (9) of free will and liberty, fate and destiny, (10) of the resurrec</w:t>
        <w:softHyphen/>
        <w:t xml:space="preserve">tion, (11) of the end of the world and the last judgement, (12) of paradise. The </w:t>
      </w:r>
      <w:r>
        <w:rPr>
          <w:i/>
          <w:iCs/>
          <w:spacing w:val="0"/>
          <w:w w:val="100"/>
          <w:position w:val="0"/>
          <w:shd w:val="clear" w:color="auto" w:fill="auto"/>
          <w:lang w:val="fr-FR" w:eastAsia="fr-FR" w:bidi="fr-FR"/>
        </w:rPr>
        <w:t xml:space="preserve">Kéthābhā </w:t>
      </w:r>
      <w:r>
        <w:rPr>
          <w:i/>
          <w:iCs/>
          <w:spacing w:val="0"/>
          <w:w w:val="100"/>
          <w:position w:val="0"/>
          <w:shd w:val="clear" w:color="auto" w:fill="auto"/>
          <w:lang w:val="en-US" w:eastAsia="en-US" w:bidi="en-US"/>
        </w:rPr>
        <w:t>dhe-Zalge,</w:t>
      </w:r>
      <w:r>
        <w:rPr>
          <w:spacing w:val="0"/>
          <w:w w:val="100"/>
          <w:position w:val="0"/>
          <w:shd w:val="clear" w:color="auto" w:fill="auto"/>
          <w:lang w:val="en-US" w:eastAsia="en-US" w:bidi="en-US"/>
        </w:rPr>
        <w:t xml:space="preserve"> or “Book of Rays,” is a com</w:t>
        <w:softHyphen/>
        <w:t>pendium of theology, going over nearly the same ground as the previous work, in ten sections.@@</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 xml:space="preserve">Kéthābhā </w:t>
      </w:r>
      <w:r>
        <w:rPr>
          <w:i/>
          <w:iCs/>
          <w:spacing w:val="0"/>
          <w:w w:val="100"/>
          <w:position w:val="0"/>
          <w:shd w:val="clear" w:color="auto" w:fill="auto"/>
          <w:lang w:val="de-DE" w:eastAsia="de-DE" w:bidi="de-DE"/>
        </w:rPr>
        <w:t>dh’lthikōn,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 xml:space="preserve">Liber </w:t>
      </w:r>
      <w:r>
        <w:rPr>
          <w:i/>
          <w:iCs/>
          <w:spacing w:val="0"/>
          <w:w w:val="100"/>
          <w:position w:val="0"/>
          <w:sz w:val="14"/>
          <w:szCs w:val="14"/>
          <w:shd w:val="clear" w:color="auto" w:fill="auto"/>
          <w:lang w:val="en-US" w:eastAsia="en-US" w:bidi="en-US"/>
        </w:rPr>
        <w:t>τωv 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θικωv,</w:t>
      </w:r>
      <w:r>
        <w:rPr>
          <w:spacing w:val="0"/>
          <w:w w:val="100"/>
          <w:position w:val="0"/>
          <w:shd w:val="clear" w:color="auto" w:fill="auto"/>
          <w:lang w:val="en-US" w:eastAsia="en-US" w:bidi="en-US"/>
        </w:rPr>
        <w:t xml:space="preserve"> was composed at </w:t>
      </w:r>
      <w:r>
        <w:rPr>
          <w:spacing w:val="0"/>
          <w:w w:val="100"/>
          <w:position w:val="0"/>
          <w:shd w:val="clear" w:color="auto" w:fill="auto"/>
          <w:lang w:val="fr-FR" w:eastAsia="fr-FR" w:bidi="fr-FR"/>
        </w:rPr>
        <w:t xml:space="preserve">Marāghah </w:t>
      </w:r>
      <w:r>
        <w:rPr>
          <w:spacing w:val="0"/>
          <w:w w:val="100"/>
          <w:position w:val="0"/>
          <w:shd w:val="clear" w:color="auto" w:fill="auto"/>
          <w:lang w:val="en-US" w:eastAsia="en-US" w:bidi="en-US"/>
        </w:rPr>
        <w:t xml:space="preserve">in 1279. It has been fully analysed by Assemani in the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 303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Part i. treats of the exercises of the body and mind, such as prayer, manual work, study, vigils, fasting, &amp;c. ; part ii., of the regimen of the body ; part iii., of the purifying of the soul from evil passions; part iv., of the adorning of the soul with virtues.@@</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Kéthābhā dhé-Yaunā,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 Book of the Dove,” is a similar work specially intended for the use of ascetics living in solitude as hermits. It is also divided into four parts, viz., (1) of the training of the body,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alienation from the world, repentance, poverty, humility, patience, fraternal love, &amp;c. ; (2) of the training of the soul,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quiet, religious exercises, prayer, watching, fasting, &amp;c. ; (3) of the spiritual rest of the per</w:t>
        <w:softHyphen/>
        <w:t>fect; and (4) an autobiographical sketch of his own spiritual life.@@</w:t>
      </w:r>
      <w:r>
        <w:rPr>
          <w:spacing w:val="0"/>
          <w:w w:val="100"/>
          <w:position w:val="0"/>
          <w:shd w:val="clear" w:color="auto" w:fill="auto"/>
          <w:vertAlign w:val="superscript"/>
          <w:lang w:val="en-US" w:eastAsia="en-US" w:bidi="en-US"/>
        </w:rPr>
        <w:t xml:space="preserve">30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also spent part of his time in excerpting, arrang</w:t>
        <w:softHyphen/>
        <w:t xml:space="preserve">ing, and commenting upon the </w:t>
      </w:r>
      <w:r>
        <w:rPr>
          <w:i/>
          <w:iCs/>
          <w:spacing w:val="0"/>
          <w:w w:val="100"/>
          <w:position w:val="0"/>
          <w:shd w:val="clear" w:color="auto" w:fill="auto"/>
          <w:lang w:val="en-US" w:eastAsia="en-US" w:bidi="en-US"/>
        </w:rPr>
        <w:t>Book of Hierotheus concerning the hidden Mysteries of the House of God.</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31</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In the commentary he chiefly follows that of Theodosius, patriarch of Antioch (see above, p. 846).@@</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He compiled an anaphora,@@</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published a confession of faith or creed,@@</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and approved the order of baptism of </w:t>
      </w:r>
      <w:r>
        <w:rPr>
          <w:spacing w:val="0"/>
          <w:w w:val="100"/>
          <w:position w:val="0"/>
          <w:shd w:val="clear" w:color="auto" w:fill="auto"/>
          <w:lang w:val="de-DE" w:eastAsia="de-DE" w:bidi="de-DE"/>
        </w:rPr>
        <w:t xml:space="preserve">Severns, </w:t>
      </w:r>
      <w:r>
        <w:rPr>
          <w:spacing w:val="0"/>
          <w:w w:val="100"/>
          <w:position w:val="0"/>
          <w:shd w:val="clear" w:color="auto" w:fill="auto"/>
          <w:lang w:val="en-US" w:eastAsia="en-US" w:bidi="en-US"/>
        </w:rPr>
        <w:t xml:space="preserve">as translated by Jacob of </w:t>
      </w:r>
      <w:r>
        <w:rPr>
          <w:spacing w:val="0"/>
          <w:w w:val="100"/>
          <w:position w:val="0"/>
          <w:shd w:val="clear" w:color="auto" w:fill="auto"/>
          <w:lang w:val="la-001" w:eastAsia="la-001" w:bidi="la-001"/>
        </w:rPr>
        <w:t>Edessa.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35</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More valuable than these is his </w:t>
      </w:r>
      <w:r>
        <w:rPr>
          <w:i/>
          <w:iCs/>
          <w:spacing w:val="0"/>
          <w:w w:val="100"/>
          <w:position w:val="0"/>
          <w:shd w:val="clear" w:color="auto" w:fill="auto"/>
          <w:lang w:val="fr-FR" w:eastAsia="fr-FR" w:bidi="fr-FR"/>
        </w:rPr>
        <w:t>Kéthābhā dhé-HuddAyè,</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Book of Directions ” or “Nomocanon,” which is·for the Jacobite Church what the </w:t>
      </w:r>
      <w:r>
        <w:rPr>
          <w:i/>
          <w:iCs/>
          <w:spacing w:val="0"/>
          <w:w w:val="100"/>
          <w:position w:val="0"/>
          <w:shd w:val="clear" w:color="auto" w:fill="auto"/>
          <w:lang w:val="fr-FR" w:eastAsia="fr-FR" w:bidi="fr-FR"/>
        </w:rPr>
        <w:t xml:space="preserve">Kunnāshā dhé-Kānonē </w:t>
      </w:r>
      <w:r>
        <w:rPr>
          <w:spacing w:val="0"/>
          <w:w w:val="100"/>
          <w:position w:val="0"/>
          <w:shd w:val="clear" w:color="auto" w:fill="auto"/>
          <w:lang w:val="en-US" w:eastAsia="en-US" w:bidi="en-US"/>
        </w:rPr>
        <w:t>of 'Abhd-īshō' is for the Nestorian, both in ecclesiastical and secular matters.@@</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To us Europeans the historical writings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surpass in interest and value everything else that he has written. He planned and executed a </w:t>
      </w:r>
      <w:r>
        <w:rPr>
          <w:i/>
          <w:iCs/>
          <w:spacing w:val="0"/>
          <w:w w:val="100"/>
          <w:position w:val="0"/>
          <w:shd w:val="clear" w:color="auto" w:fill="auto"/>
          <w:lang w:val="en-US" w:eastAsia="en-US" w:bidi="en-US"/>
        </w:rPr>
        <w:t>Universal History</w:t>
      </w:r>
      <w:r>
        <w:rPr>
          <w:spacing w:val="0"/>
          <w:w w:val="100"/>
          <w:position w:val="0"/>
          <w:shd w:val="clear" w:color="auto" w:fill="auto"/>
          <w:lang w:val="en-US" w:eastAsia="en-US" w:bidi="en-US"/>
        </w:rPr>
        <w:t xml:space="preserve"> in three parts.@@</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Part i. contains the political </w:t>
      </w:r>
      <w:r>
        <w:rPr>
          <w:i/>
          <w:iCs/>
          <w:spacing w:val="0"/>
          <w:w w:val="100"/>
          <w:position w:val="0"/>
          <w:shd w:val="clear" w:color="auto" w:fill="auto"/>
          <w:lang w:val="en-US" w:eastAsia="en-US" w:bidi="en-US"/>
        </w:rPr>
        <w:t>History of the World</w:t>
      </w:r>
      <w:r>
        <w:rPr>
          <w:spacing w:val="0"/>
          <w:w w:val="100"/>
          <w:position w:val="0"/>
          <w:shd w:val="clear" w:color="auto" w:fill="auto"/>
          <w:lang w:val="en-US" w:eastAsia="en-US" w:bidi="en-US"/>
        </w:rPr>
        <w:t xml:space="preserve"> from the creation down to his own times.@@</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Part ii. is the history of the church from Aaron downwards, the treatment being exceedingly brief till we reach the post-apostolic period, when it becomes a history of the patriarchs of the church of Antioch, and finally, after the age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of the patriarchs of the Monophysite branch of that church down to the year 1285. The meagre continuation by a later hand reaches to 1495. Part iii. offers us the history of the Eastern division of the Syrian Church from St Thomas the apostle onwards. From the time of </w:t>
      </w:r>
      <w:r>
        <w:rPr>
          <w:spacing w:val="0"/>
          <w:w w:val="100"/>
          <w:position w:val="0"/>
          <w:shd w:val="clear" w:color="auto" w:fill="auto"/>
          <w:lang w:val="de-DE" w:eastAsia="de-DE" w:bidi="de-DE"/>
        </w:rPr>
        <w:t xml:space="preserve">Mārūthā </w:t>
      </w:r>
      <w:r>
        <w:rPr>
          <w:spacing w:val="0"/>
          <w:w w:val="100"/>
          <w:position w:val="0"/>
          <w:shd w:val="clear" w:color="auto" w:fill="auto"/>
          <w:lang w:val="en-US" w:eastAsia="en-US" w:bidi="en-US"/>
        </w:rPr>
        <w:t>(629) it becomes the history of the Mono</w:t>
        <w:softHyphen/>
        <w:t xml:space="preserve">physite </w:t>
      </w:r>
      <w:r>
        <w:rPr>
          <w:spacing w:val="0"/>
          <w:w w:val="100"/>
          <w:position w:val="0"/>
          <w:shd w:val="clear" w:color="auto" w:fill="auto"/>
          <w:lang w:val="fr-FR" w:eastAsia="fr-FR" w:bidi="fr-FR"/>
        </w:rPr>
        <w:t xml:space="preserve">maphriāns </w:t>
      </w:r>
      <w:r>
        <w:rPr>
          <w:spacing w:val="0"/>
          <w:w w:val="100"/>
          <w:position w:val="0"/>
          <w:shd w:val="clear" w:color="auto" w:fill="auto"/>
          <w:lang w:val="en-US" w:eastAsia="en-US" w:bidi="en-US"/>
        </w:rPr>
        <w:t xml:space="preserve">of Taghrith, though a record is always carefully kept of the catholic patriarchs of the Nestorians. It closes with the year 1286, but there is a continuation by </w:t>
      </w:r>
      <w:r>
        <w:rPr>
          <w:spacing w:val="0"/>
          <w:w w:val="100"/>
          <w:position w:val="0"/>
          <w:shd w:val="clear" w:color="auto" w:fill="auto"/>
          <w:lang w:val="fr-FR" w:eastAsia="fr-FR" w:bidi="fr-FR"/>
        </w:rPr>
        <w:t xml:space="preserve">Bar-Hebræus’s </w:t>
      </w:r>
      <w:r>
        <w:rPr>
          <w:spacing w:val="0"/>
          <w:w w:val="100"/>
          <w:position w:val="0"/>
          <w:shd w:val="clear" w:color="auto" w:fill="auto"/>
          <w:lang w:val="en-US" w:eastAsia="en-US" w:bidi="en-US"/>
        </w:rPr>
        <w:t xml:space="preserve">brother </w:t>
      </w:r>
      <w:r>
        <w:rPr>
          <w:spacing w:val="0"/>
          <w:w w:val="100"/>
          <w:position w:val="0"/>
          <w:shd w:val="clear" w:color="auto" w:fill="auto"/>
          <w:lang w:val="de-DE" w:eastAsia="de-DE" w:bidi="de-DE"/>
        </w:rPr>
        <w:t xml:space="preserve">Bar-saumā </w:t>
      </w:r>
      <w:r>
        <w:rPr>
          <w:spacing w:val="0"/>
          <w:w w:val="100"/>
          <w:position w:val="0"/>
          <w:shd w:val="clear" w:color="auto" w:fill="auto"/>
          <w:lang w:val="en-US" w:eastAsia="en-US" w:bidi="en-US"/>
        </w:rPr>
        <w:t>to 1288, and thence by another writer to 1496.@@</w:t>
      </w:r>
      <w:r>
        <w:rPr>
          <w:spacing w:val="0"/>
          <w:w w:val="100"/>
          <w:position w:val="0"/>
          <w:shd w:val="clear" w:color="auto" w:fill="auto"/>
          <w:vertAlign w:val="superscript"/>
          <w:lang w:val="en-US" w:eastAsia="en-US" w:bidi="en-US"/>
        </w:rPr>
        <w:t>3θ</w:t>
      </w:r>
      <w:r>
        <w:rPr>
          <w:spacing w:val="0"/>
          <w:w w:val="100"/>
          <w:position w:val="0"/>
          <w:shd w:val="clear" w:color="auto" w:fill="auto"/>
          <w:lang w:val="en-US" w:eastAsia="en-US" w:bidi="en-US"/>
        </w:rPr>
        <w:t xml:space="preserve"> In the last years of his life, at the request of some Mushm friends in </w:t>
      </w:r>
      <w:r>
        <w:rPr>
          <w:spacing w:val="0"/>
          <w:w w:val="100"/>
          <w:position w:val="0"/>
          <w:shd w:val="clear" w:color="auto" w:fill="auto"/>
          <w:lang w:val="de-DE" w:eastAsia="de-DE" w:bidi="de-DE"/>
        </w:rPr>
        <w:t>Marā-</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cc.;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211 ; Cambridge, coll, of the S.P.C.K.</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 2G8, in the note, col. 2, No. 28.</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la-001" w:eastAsia="la-001" w:bidi="la-001"/>
        </w:rPr>
        <w:t>Theoremata et Exercitationes,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course of logic, physics, and metaphysics ; see WUstenfeld,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d. arab. Aerzte,</w:t>
      </w:r>
      <w:r>
        <w:rPr>
          <w:spacing w:val="0"/>
          <w:w w:val="100"/>
          <w:position w:val="0"/>
          <w:shd w:val="clear" w:color="auto" w:fill="auto"/>
          <w:lang w:val="en-US" w:eastAsia="en-US" w:bidi="en-US"/>
        </w:rPr>
        <w:t xml:space="preserve"> p. 73, No. 61 ; J3.O., ii. 270, note 2.</w:t>
      </w:r>
    </w:p>
    <w:p>
      <w:pPr>
        <w:pStyle w:val="Style7"/>
        <w:keepNext w:val="0"/>
        <w:keepLines w:val="0"/>
        <w:widowControl w:val="0"/>
        <w:shd w:val="clear" w:color="auto" w:fill="auto"/>
        <w:tabs>
          <w:tab w:pos="1361" w:val="left"/>
        </w:tabs>
        <w:bidi w:val="0"/>
        <w:spacing w:line="194" w:lineRule="auto"/>
        <w:ind w:left="0" w:firstLine="360"/>
        <w:jc w:val="left"/>
      </w:pPr>
      <w:r>
        <w:rPr>
          <w:spacing w:val="0"/>
          <w:w w:val="100"/>
          <w:position w:val="0"/>
          <w:shd w:val="clear" w:color="auto" w:fill="auto"/>
          <w:lang w:val="en-US" w:eastAsia="en-US" w:bidi="en-US"/>
        </w:rPr>
        <w:t xml:space="preserve">@@@1 Cod. Vat. CXCi. ;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clxxxv. (Arab, and Syr.); Paris, Anc. </w:t>
      </w:r>
      <w:r>
        <w:rPr>
          <w:spacing w:val="0"/>
          <w:w w:val="100"/>
          <w:position w:val="0"/>
          <w:shd w:val="clear" w:color="auto" w:fill="auto"/>
          <w:lang w:val="fr-FR" w:eastAsia="fr-FR" w:bidi="fr-FR"/>
        </w:rPr>
        <w:t xml:space="preserve">fonds </w:t>
      </w:r>
      <w:r>
        <w:rPr>
          <w:spacing w:val="0"/>
          <w:w w:val="100"/>
          <w:position w:val="0"/>
          <w:shd w:val="clear" w:color="auto" w:fill="auto"/>
          <w:lang w:val="en-US" w:eastAsia="en-US" w:bidi="en-US"/>
        </w:rPr>
        <w:t>163.</w:t>
        <w:tab/>
      </w:r>
    </w:p>
    <w:p>
      <w:pPr>
        <w:pStyle w:val="Style7"/>
        <w:keepNext w:val="0"/>
        <w:keepLines w:val="0"/>
        <w:widowControl w:val="0"/>
        <w:shd w:val="clear" w:color="auto" w:fill="auto"/>
        <w:tabs>
          <w:tab w:pos="1541" w:val="left"/>
        </w:tabs>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 485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p. 318).</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@@@6 B.O., ii. 253 ;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443.</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307 ; but the calendar there indicated is of later date.</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@@@8 Bodl. Hunt. 540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162. On the date see Payne Smith,</w:t>
      </w:r>
    </w:p>
    <w:p>
      <w:pPr>
        <w:pStyle w:val="Style7"/>
        <w:keepNext w:val="0"/>
        <w:keepLines w:val="0"/>
        <w:widowControl w:val="0"/>
        <w:shd w:val="clear" w:color="auto" w:fill="auto"/>
        <w:tabs>
          <w:tab w:pos="1372" w:val="left"/>
        </w:tabs>
        <w:bidi w:val="0"/>
        <w:spacing w:line="194" w:lineRule="auto"/>
        <w:ind w:left="0" w:firstLine="0"/>
        <w:jc w:val="left"/>
      </w:pP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584.</w:t>
        <w:tab/>
      </w:r>
    </w:p>
    <w:p>
      <w:pPr>
        <w:pStyle w:val="Style7"/>
        <w:keepNext w:val="0"/>
        <w:keepLines w:val="0"/>
        <w:widowControl w:val="0"/>
        <w:shd w:val="clear" w:color="auto" w:fill="auto"/>
        <w:tabs>
          <w:tab w:pos="1372" w:val="left"/>
        </w:tabs>
        <w:bidi w:val="0"/>
        <w:spacing w:line="194" w:lineRule="auto"/>
        <w:ind w:left="0" w:firstLine="0"/>
        <w:jc w:val="left"/>
      </w:pPr>
      <w:r>
        <w:rPr>
          <w:spacing w:val="0"/>
          <w:w w:val="100"/>
          <w:position w:val="0"/>
          <w:shd w:val="clear" w:color="auto" w:fill="auto"/>
          <w:lang w:val="en-US" w:eastAsia="en-US" w:bidi="en-US"/>
        </w:rPr>
        <w:t xml:space="preserve">@@@9 </w:t>
      </w:r>
      <w:r>
        <w:rPr>
          <w:spacing w:val="0"/>
          <w:w w:val="100"/>
          <w:position w:val="0"/>
          <w:shd w:val="clear" w:color="auto" w:fill="auto"/>
          <w:lang w:val="de-DE" w:eastAsia="de-DE" w:bidi="de-DE"/>
        </w:rPr>
        <w:t xml:space="preserve">Wūstenfeld, </w:t>
      </w:r>
      <w:r>
        <w:rPr>
          <w:i/>
          <w:iCs/>
          <w:spacing w:val="0"/>
          <w:w w:val="100"/>
          <w:position w:val="0"/>
          <w:shd w:val="clear" w:color="auto" w:fill="auto"/>
          <w:lang w:val="en-US" w:eastAsia="en-US" w:bidi="en-US"/>
        </w:rPr>
        <w:t>Gesch. d. arab. Aerzte,</w:t>
      </w:r>
      <w:r>
        <w:rPr>
          <w:spacing w:val="0"/>
          <w:w w:val="100"/>
          <w:position w:val="0"/>
          <w:shd w:val="clear" w:color="auto" w:fill="auto"/>
          <w:lang w:val="en-US" w:eastAsia="en-US" w:bidi="en-US"/>
        </w:rPr>
        <w:t xml:space="preserve"> No. 240.</w:t>
      </w:r>
    </w:p>
    <w:p>
      <w:pPr>
        <w:pStyle w:val="Style7"/>
        <w:keepNext w:val="0"/>
        <w:keepLines w:val="0"/>
        <w:widowControl w:val="0"/>
        <w:shd w:val="clear" w:color="auto" w:fill="auto"/>
        <w:tabs>
          <w:tab w:pos="1645" w:val="left"/>
        </w:tabs>
        <w:bidi w:val="0"/>
        <w:spacing w:line="194" w:lineRule="auto"/>
        <w:ind w:left="0" w:firstLine="360"/>
        <w:jc w:val="left"/>
      </w:pPr>
      <w:r>
        <w:rPr>
          <w:spacing w:val="0"/>
          <w:w w:val="100"/>
          <w:position w:val="0"/>
          <w:shd w:val="clear" w:color="auto" w:fill="auto"/>
          <w:lang w:val="en-US" w:eastAsia="en-US" w:bidi="en-US"/>
        </w:rPr>
        <w:t xml:space="preserve">@@@i®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747.</w:t>
        <w:tab/>
      </w:r>
    </w:p>
    <w:p>
      <w:pPr>
        <w:pStyle w:val="Style7"/>
        <w:keepNext w:val="0"/>
        <w:keepLines w:val="0"/>
        <w:widowControl w:val="0"/>
        <w:shd w:val="clear" w:color="auto" w:fill="auto"/>
        <w:tabs>
          <w:tab w:pos="1645" w:val="left"/>
        </w:tabs>
        <w:bidi w:val="0"/>
        <w:spacing w:line="194"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 268, in the note, col. 1, No. 13, and p. 270.</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@@@12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268, col. 1, No. 15, and p. 270.</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@@@13 Apparently unfinished, for </w:t>
      </w:r>
      <w:r>
        <w:rPr>
          <w:spacing w:val="0"/>
          <w:w w:val="100"/>
          <w:position w:val="0"/>
          <w:shd w:val="clear" w:color="auto" w:fill="auto"/>
          <w:lang w:val="de-DE" w:eastAsia="de-DE" w:bidi="de-DE"/>
        </w:rPr>
        <w:t xml:space="preserve">Bar-saumā </w:t>
      </w:r>
      <w:r>
        <w:rPr>
          <w:spacing w:val="0"/>
          <w:w w:val="100"/>
          <w:position w:val="0"/>
          <w:shd w:val="clear" w:color="auto" w:fill="auto"/>
          <w:lang w:val="en-US" w:eastAsia="en-US" w:bidi="en-US"/>
        </w:rPr>
        <w:t xml:space="preserve">is careful to add "as far as </w:t>
      </w:r>
      <w:r>
        <w:rPr>
          <w:i/>
          <w:iCs/>
          <w:spacing w:val="0"/>
          <w:w w:val="100"/>
          <w:position w:val="0"/>
          <w:shd w:val="clear" w:color="auto" w:fill="auto"/>
          <w:lang w:val="fr-FR" w:eastAsia="fr-FR" w:bidi="fr-FR"/>
        </w:rPr>
        <w:t>Thīriakī,"</w:t>
      </w:r>
    </w:p>
    <w:p>
      <w:pPr>
        <w:pStyle w:val="Style7"/>
        <w:keepNext w:val="0"/>
        <w:keepLines w:val="0"/>
        <w:widowControl w:val="0"/>
        <w:shd w:val="clear" w:color="auto" w:fill="auto"/>
        <w:bidi w:val="0"/>
        <w:spacing w:line="194" w:lineRule="auto"/>
        <w:ind w:left="0" w:firstLine="0"/>
        <w:jc w:val="left"/>
      </w:pP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272, No. 28 ; see also p. 268, in the note, col. 2, No. 25.</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@@@H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270, No. 16.</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@@@15 Wenrich, </w:t>
      </w:r>
      <w:r>
        <w:rPr>
          <w:i/>
          <w:iCs/>
          <w:spacing w:val="0"/>
          <w:w w:val="100"/>
          <w:position w:val="0"/>
          <w:shd w:val="clear" w:color="auto" w:fill="auto"/>
          <w:lang w:val="la-001" w:eastAsia="la-001" w:bidi="la-001"/>
        </w:rPr>
        <w:t xml:space="preserve">De Auctorum </w:t>
      </w:r>
      <w:r>
        <w:rPr>
          <w:i/>
          <w:iCs/>
          <w:spacing w:val="0"/>
          <w:w w:val="100"/>
          <w:position w:val="0"/>
          <w:shd w:val="clear" w:color="auto" w:fill="auto"/>
          <w:lang w:val="fr-FR" w:eastAsia="fr-FR" w:bidi="fr-FR"/>
        </w:rPr>
        <w:t xml:space="preserve">Græc. </w:t>
      </w:r>
      <w:r>
        <w:rPr>
          <w:i/>
          <w:iCs/>
          <w:spacing w:val="0"/>
          <w:w w:val="100"/>
          <w:position w:val="0"/>
          <w:shd w:val="clear" w:color="auto" w:fill="auto"/>
          <w:lang w:val="en-US" w:eastAsia="en-US" w:bidi="en-US"/>
        </w:rPr>
        <w:t xml:space="preserve">Verss. </w:t>
      </w:r>
      <w:r>
        <w:rPr>
          <w:i/>
          <w:iCs/>
          <w:spacing w:val="0"/>
          <w:w w:val="100"/>
          <w:position w:val="0"/>
          <w:shd w:val="clear" w:color="auto" w:fill="auto"/>
          <w:lang w:val="fr-FR" w:eastAsia="fr-FR" w:bidi="fr-FR"/>
        </w:rPr>
        <w:t xml:space="preserve">et Commentt. </w:t>
      </w:r>
      <w:r>
        <w:rPr>
          <w:i/>
          <w:iCs/>
          <w:spacing w:val="0"/>
          <w:w w:val="100"/>
          <w:position w:val="0"/>
          <w:shd w:val="clear" w:color="auto" w:fill="auto"/>
          <w:lang w:val="la-001" w:eastAsia="la-001" w:bidi="la-001"/>
        </w:rPr>
        <w:t>Syriacis,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 xml:space="preserve">1842,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242-</w:t>
      </w:r>
    </w:p>
    <w:p>
      <w:pPr>
        <w:pStyle w:val="Style7"/>
        <w:keepNext w:val="0"/>
        <w:keepLines w:val="0"/>
        <w:widowControl w:val="0"/>
        <w:shd w:val="clear" w:color="auto" w:fill="auto"/>
        <w:bidi w:val="0"/>
        <w:spacing w:line="194" w:lineRule="auto"/>
        <w:ind w:left="360" w:hanging="360"/>
        <w:jc w:val="left"/>
      </w:pPr>
      <w:r>
        <w:rPr>
          <w:spacing w:val="0"/>
          <w:w w:val="100"/>
          <w:position w:val="0"/>
          <w:shd w:val="clear" w:color="auto" w:fill="auto"/>
          <w:lang w:val="en-US" w:eastAsia="en-US" w:bidi="en-US"/>
        </w:rPr>
        <w:t xml:space="preserve">243, 270 </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Wūstenfeld, </w:t>
      </w:r>
      <w:r>
        <w:rPr>
          <w:i/>
          <w:iCs/>
          <w:spacing w:val="0"/>
          <w:w w:val="100"/>
          <w:position w:val="0"/>
          <w:shd w:val="clear" w:color="auto" w:fill="auto"/>
          <w:lang w:val="fr-FR" w:eastAsia="fr-FR" w:bidi="fr-FR"/>
        </w:rPr>
        <w:t>Gesch. d. arab. Aerzte,</w:t>
      </w:r>
      <w:r>
        <w:rPr>
          <w:spacing w:val="0"/>
          <w:w w:val="100"/>
          <w:position w:val="0"/>
          <w:shd w:val="clear" w:color="auto" w:fill="auto"/>
          <w:lang w:val="fr-FR" w:eastAsia="fr-FR" w:bidi="fr-FR"/>
        </w:rPr>
        <w:t xml:space="preserve"> No. </w:t>
      </w:r>
      <w:r>
        <w:rPr>
          <w:spacing w:val="0"/>
          <w:w w:val="100"/>
          <w:position w:val="0"/>
          <w:shd w:val="clear" w:color="auto" w:fill="auto"/>
          <w:lang w:val="en-US" w:eastAsia="en-US" w:bidi="en-US"/>
        </w:rPr>
        <w:t>240.</w:t>
      </w:r>
    </w:p>
    <w:p>
      <w:pPr>
        <w:pStyle w:val="Style7"/>
        <w:keepNext w:val="0"/>
        <w:keepLines w:val="0"/>
        <w:widowControl w:val="0"/>
        <w:shd w:val="clear" w:color="auto" w:fill="auto"/>
        <w:bidi w:val="0"/>
        <w:spacing w:line="194" w:lineRule="auto"/>
        <w:ind w:left="360" w:hanging="360"/>
        <w:jc w:val="left"/>
      </w:pPr>
      <w:r>
        <w:rPr>
          <w:spacing w:val="0"/>
          <w:w w:val="100"/>
          <w:position w:val="0"/>
          <w:shd w:val="clear" w:color="auto" w:fill="auto"/>
          <w:lang w:val="en-US" w:eastAsia="en-US" w:bidi="en-US"/>
        </w:rPr>
        <w:t xml:space="preserve">@@@is </w:t>
      </w:r>
      <w:r>
        <w:rPr>
          <w:spacing w:val="0"/>
          <w:w w:val="100"/>
          <w:position w:val="0"/>
          <w:shd w:val="clear" w:color="auto" w:fill="auto"/>
          <w:lang w:val="de-DE" w:eastAsia="de-DE" w:bidi="de-DE"/>
        </w:rPr>
        <w:t xml:space="preserve">Wūstenfeld,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No. 176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Abi </w:t>
      </w:r>
      <w:r>
        <w:rPr>
          <w:spacing w:val="0"/>
          <w:w w:val="100"/>
          <w:position w:val="0"/>
          <w:shd w:val="clear" w:color="auto" w:fill="auto"/>
          <w:lang w:val="en-US" w:eastAsia="en-US" w:bidi="en-US"/>
        </w:rPr>
        <w:t xml:space="preserve">Usaibi'ah, ed. </w:t>
      </w:r>
      <w:r>
        <w:rPr>
          <w:spacing w:val="0"/>
          <w:w w:val="100"/>
          <w:position w:val="0"/>
          <w:shd w:val="clear" w:color="auto" w:fill="auto"/>
          <w:lang w:val="de-DE" w:eastAsia="de-DE" w:bidi="de-DE"/>
        </w:rPr>
        <w:t xml:space="preserve">Mūller,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52.</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@@@17 </w:t>
      </w:r>
      <w:r>
        <w:rPr>
          <w:i/>
          <w:iCs/>
          <w:spacing w:val="0"/>
          <w:w w:val="100"/>
          <w:position w:val="0"/>
          <w:shd w:val="clear" w:color="auto" w:fill="auto"/>
          <w:lang w:val="la-001" w:eastAsia="la-001" w:bidi="la-001"/>
        </w:rPr>
        <w:t>B.O.,</w:t>
      </w:r>
      <w:r>
        <w:rPr>
          <w:spacing w:val="0"/>
          <w:w w:val="100"/>
          <w:position w:val="0"/>
          <w:shd w:val="clear" w:color="auto" w:fill="auto"/>
          <w:lang w:val="la-001" w:eastAsia="la-001" w:bidi="la-001"/>
        </w:rPr>
        <w:t xml:space="preserve"> ii. </w:t>
      </w:r>
      <w:r>
        <w:rPr>
          <w:spacing w:val="0"/>
          <w:w w:val="100"/>
          <w:position w:val="0"/>
          <w:shd w:val="clear" w:color="auto" w:fill="auto"/>
          <w:lang w:val="en-US" w:eastAsia="en-US" w:bidi="en-US"/>
        </w:rPr>
        <w:t xml:space="preserve">270, </w:t>
      </w:r>
      <w:r>
        <w:rPr>
          <w:spacing w:val="0"/>
          <w:w w:val="100"/>
          <w:position w:val="0"/>
          <w:shd w:val="clear" w:color="auto" w:fill="auto"/>
          <w:lang w:val="la-001" w:eastAsia="la-001" w:bidi="la-001"/>
        </w:rPr>
        <w:t xml:space="preserve">No. </w:t>
      </w:r>
      <w:r>
        <w:rPr>
          <w:spacing w:val="0"/>
          <w:w w:val="100"/>
          <w:position w:val="0"/>
          <w:shd w:val="clear" w:color="auto" w:fill="auto"/>
          <w:lang w:val="en-US" w:eastAsia="en-US" w:bidi="en-US"/>
        </w:rPr>
        <w:t xml:space="preserve">14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268, note, col. 1, </w:t>
      </w:r>
      <w:r>
        <w:rPr>
          <w:spacing w:val="0"/>
          <w:w w:val="100"/>
          <w:position w:val="0"/>
          <w:shd w:val="clear" w:color="auto" w:fill="auto"/>
          <w:lang w:val="la-001" w:eastAsia="la-001" w:bidi="la-001"/>
        </w:rPr>
        <w:t xml:space="preserve">No. </w:t>
      </w:r>
      <w:r>
        <w:rPr>
          <w:spacing w:val="0"/>
          <w:w w:val="100"/>
          <w:position w:val="0"/>
          <w:shd w:val="clear" w:color="auto" w:fill="auto"/>
          <w:lang w:val="en-US" w:eastAsia="en-US" w:bidi="en-US"/>
        </w:rPr>
        <w:t>14.</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@@@18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272, </w:t>
      </w:r>
      <w:r>
        <w:rPr>
          <w:spacing w:val="0"/>
          <w:w w:val="100"/>
          <w:position w:val="0"/>
          <w:shd w:val="clear" w:color="auto" w:fill="auto"/>
          <w:lang w:val="la-001" w:eastAsia="la-001" w:bidi="la-001"/>
        </w:rPr>
        <w:t xml:space="preserve">No. </w:t>
      </w:r>
      <w:r>
        <w:rPr>
          <w:spacing w:val="0"/>
          <w:w w:val="100"/>
          <w:position w:val="0"/>
          <w:shd w:val="clear" w:color="auto" w:fill="auto"/>
          <w:lang w:val="en-US" w:eastAsia="en-US" w:bidi="en-US"/>
        </w:rPr>
        <w:t xml:space="preserve">24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268, note, </w:t>
      </w:r>
      <w:r>
        <w:rPr>
          <w:spacing w:val="0"/>
          <w:w w:val="100"/>
          <w:position w:val="0"/>
          <w:shd w:val="clear" w:color="auto" w:fill="auto"/>
          <w:lang w:val="la-001" w:eastAsia="la-001" w:bidi="la-001"/>
        </w:rPr>
        <w:t xml:space="preserve">coi. </w:t>
      </w:r>
      <w:r>
        <w:rPr>
          <w:spacing w:val="0"/>
          <w:w w:val="100"/>
          <w:position w:val="0"/>
          <w:shd w:val="clear" w:color="auto" w:fill="auto"/>
          <w:lang w:val="en-US" w:eastAsia="en-US" w:bidi="en-US"/>
        </w:rPr>
        <w:t xml:space="preserve">2, </w:t>
      </w:r>
      <w:r>
        <w:rPr>
          <w:spacing w:val="0"/>
          <w:w w:val="100"/>
          <w:position w:val="0"/>
          <w:shd w:val="clear" w:color="auto" w:fill="auto"/>
          <w:lang w:val="la-001" w:eastAsia="la-001" w:bidi="la-001"/>
        </w:rPr>
        <w:t xml:space="preserve">No. </w:t>
      </w:r>
      <w:r>
        <w:rPr>
          <w:spacing w:val="0"/>
          <w:w w:val="100"/>
          <w:position w:val="0"/>
          <w:shd w:val="clear" w:color="auto" w:fill="auto"/>
          <w:lang w:val="en-US" w:eastAsia="en-US" w:bidi="en-US"/>
        </w:rPr>
        <w:t>22.</w:t>
      </w:r>
    </w:p>
    <w:p>
      <w:pPr>
        <w:pStyle w:val="Style7"/>
        <w:keepNext w:val="0"/>
        <w:keepLines w:val="0"/>
        <w:widowControl w:val="0"/>
        <w:shd w:val="clear" w:color="auto" w:fill="auto"/>
        <w:tabs>
          <w:tab w:pos="2732" w:val="left"/>
        </w:tabs>
        <w:bidi w:val="0"/>
        <w:spacing w:line="230" w:lineRule="auto"/>
        <w:ind w:left="0" w:firstLine="36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 xml:space="preserve">19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272, </w:t>
      </w:r>
      <w:r>
        <w:rPr>
          <w:spacing w:val="0"/>
          <w:w w:val="100"/>
          <w:position w:val="0"/>
          <w:shd w:val="clear" w:color="auto" w:fill="auto"/>
          <w:lang w:val="la-001" w:eastAsia="la-001" w:bidi="la-001"/>
        </w:rPr>
        <w:t xml:space="preserve">No. </w:t>
      </w:r>
      <w:r>
        <w:rPr>
          <w:spacing w:val="0"/>
          <w:w w:val="100"/>
          <w:position w:val="0"/>
          <w:shd w:val="clear" w:color="auto" w:fill="auto"/>
          <w:lang w:val="en-US" w:eastAsia="en-US" w:bidi="en-US"/>
        </w:rPr>
        <w:t>26.</w:t>
        <w:tab/>
      </w:r>
    </w:p>
    <w:p>
      <w:pPr>
        <w:pStyle w:val="Style7"/>
        <w:keepNext w:val="0"/>
        <w:keepLines w:val="0"/>
        <w:widowControl w:val="0"/>
        <w:shd w:val="clear" w:color="auto" w:fill="auto"/>
        <w:tabs>
          <w:tab w:pos="2732" w:val="left"/>
        </w:tabs>
        <w:bidi w:val="0"/>
        <w:spacing w:line="230" w:lineRule="auto"/>
        <w:ind w:left="0" w:firstLine="360"/>
        <w:jc w:val="left"/>
      </w:pPr>
      <w:r>
        <w:rPr>
          <w:spacing w:val="0"/>
          <w:w w:val="100"/>
          <w:position w:val="0"/>
          <w:shd w:val="clear" w:color="auto" w:fill="auto"/>
          <w:lang w:val="en-US" w:eastAsia="en-US" w:bidi="en-US"/>
        </w:rPr>
        <w:t xml:space="preserve">@@@2θ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307.</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@@@21 </w:t>
      </w:r>
      <w:r>
        <w:rPr>
          <w:i/>
          <w:iCs/>
          <w:spacing w:val="0"/>
          <w:w w:val="100"/>
          <w:position w:val="0"/>
          <w:shd w:val="clear" w:color="auto" w:fill="auto"/>
          <w:lang w:val="fr-FR" w:eastAsia="fr-FR" w:bidi="fr-FR"/>
        </w:rPr>
        <w:t xml:space="preserve">Œuvres </w:t>
      </w:r>
      <w:r>
        <w:rPr>
          <w:i/>
          <w:iCs/>
          <w:spacing w:val="0"/>
          <w:w w:val="100"/>
          <w:position w:val="0"/>
          <w:shd w:val="clear" w:color="auto" w:fill="auto"/>
          <w:lang w:val="la-001" w:eastAsia="la-001" w:bidi="la-001"/>
        </w:rPr>
        <w:t xml:space="preserve">Grammaticales </w:t>
      </w:r>
      <w:r>
        <w:rPr>
          <w:i/>
          <w:iCs/>
          <w:spacing w:val="0"/>
          <w:w w:val="100"/>
          <w:position w:val="0"/>
          <w:shd w:val="clear" w:color="auto" w:fill="auto"/>
          <w:lang w:val="fr-FR" w:eastAsia="fr-FR" w:bidi="fr-FR"/>
        </w:rPr>
        <w:t xml:space="preserve">d’Abou </w:t>
      </w:r>
      <w:r>
        <w:rPr>
          <w:i/>
          <w:iCs/>
          <w:spacing w:val="0"/>
          <w:w w:val="100"/>
          <w:position w:val="0"/>
          <w:shd w:val="clear" w:color="auto" w:fill="auto"/>
          <w:lang w:val="el-GR" w:eastAsia="el-GR" w:bidi="el-GR"/>
        </w:rPr>
        <w:t xml:space="preserve">Ί </w:t>
      </w:r>
      <w:r>
        <w:rPr>
          <w:i/>
          <w:iCs/>
          <w:spacing w:val="0"/>
          <w:w w:val="100"/>
          <w:position w:val="0"/>
          <w:shd w:val="clear" w:color="auto" w:fill="auto"/>
          <w:lang w:val="la-001" w:eastAsia="la-001" w:bidi="la-001"/>
        </w:rPr>
        <w:t xml:space="preserve">Faradj, </w:t>
      </w:r>
      <w:r>
        <w:rPr>
          <w:i/>
          <w:iCs/>
          <w:spacing w:val="0"/>
          <w:w w:val="100"/>
          <w:position w:val="0"/>
          <w:shd w:val="clear" w:color="auto" w:fill="auto"/>
          <w:lang w:val="fr-FR" w:eastAsia="fr-FR" w:bidi="fr-FR"/>
        </w:rPr>
        <w:t xml:space="preserve">dit Bar </w:t>
      </w:r>
      <w:r>
        <w:rPr>
          <w:i/>
          <w:iCs/>
          <w:spacing w:val="0"/>
          <w:w w:val="100"/>
          <w:position w:val="0"/>
          <w:shd w:val="clear" w:color="auto" w:fill="auto"/>
          <w:lang w:val="la-001" w:eastAsia="la-001" w:bidi="la-001"/>
        </w:rPr>
        <w:t>Hebreus,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i., 1872. The</w:t>
      </w:r>
    </w:p>
    <w:p>
      <w:pPr>
        <w:pStyle w:val="Style7"/>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 xml:space="preserve">chapter on the signs of interpunction, &amp;c., was edited by Dr Phillips in 1869, in </w:t>
      </w:r>
      <w:r>
        <w:rPr>
          <w:i/>
          <w:iCs/>
          <w:spacing w:val="0"/>
          <w:w w:val="100"/>
          <w:position w:val="0"/>
          <w:shd w:val="clear" w:color="auto" w:fill="auto"/>
          <w:lang w:val="en-US" w:eastAsia="en-US" w:bidi="en-US"/>
        </w:rPr>
        <w:t xml:space="preserve">A Letter by Mar Jacob, Bishop of </w:t>
      </w:r>
      <w:r>
        <w:rPr>
          <w:i/>
          <w:iCs/>
          <w:spacing w:val="0"/>
          <w:w w:val="100"/>
          <w:position w:val="0"/>
          <w:shd w:val="clear" w:color="auto" w:fill="auto"/>
          <w:lang w:val="la-001" w:eastAsia="la-001" w:bidi="la-001"/>
        </w:rPr>
        <w:t xml:space="preserve">Edessa, </w:t>
      </w:r>
      <w:r>
        <w:rPr>
          <w:i/>
          <w:iCs/>
          <w:spacing w:val="0"/>
          <w:w w:val="100"/>
          <w:position w:val="0"/>
          <w:shd w:val="clear" w:color="auto" w:fill="auto"/>
          <w:lang w:val="en-US" w:eastAsia="en-US" w:bidi="en-US"/>
        </w:rPr>
        <w:t>on Syriac orthography.</w:t>
      </w:r>
      <w:r>
        <w:rPr>
          <w:spacing w:val="0"/>
          <w:w w:val="100"/>
          <w:position w:val="0"/>
          <w:shd w:val="clear" w:color="auto" w:fill="auto"/>
          <w:lang w:val="en-US" w:eastAsia="en-US" w:bidi="en-US"/>
        </w:rPr>
        <w:t xml:space="preserve"> MSS. of this work are — Cod. Vat. ccccxvi., ccccxxii.; Bodh Hunt. 1, Pocock 298;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166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7201 ;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cxxii. ; Gottingen, Or. 18b ; Berlin, Alt. Best. 43,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307, 308 ; Cambridge, coll, of the S.P.C.K.</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@@@22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308.</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@@@23 Of this work there are many MSS. in Europe, differing from one another in the quantity of the scholia and the retention or omission of section 5.</w:t>
      </w:r>
    </w:p>
    <w:p>
      <w:pPr>
        <w:pStyle w:val="Style7"/>
        <w:keepNext w:val="0"/>
        <w:keepLines w:val="0"/>
        <w:widowControl w:val="0"/>
        <w:shd w:val="clear" w:color="auto" w:fill="auto"/>
        <w:tabs>
          <w:tab w:pos="2524" w:val="left"/>
        </w:tabs>
        <w:bidi w:val="0"/>
        <w:spacing w:line="194" w:lineRule="auto"/>
        <w:ind w:left="0" w:firstLine="360"/>
        <w:jc w:val="left"/>
      </w:pPr>
      <w:r>
        <w:rPr>
          <w:spacing w:val="0"/>
          <w:w w:val="100"/>
          <w:position w:val="0"/>
          <w:shd w:val="clear" w:color="auto" w:fill="auto"/>
          <w:lang w:val="en-US" w:eastAsia="en-US" w:bidi="en-US"/>
        </w:rPr>
        <w:t xml:space="preserve">@@@24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272, No. 27.</w:t>
        <w:tab/>
      </w:r>
    </w:p>
    <w:p>
      <w:pPr>
        <w:pStyle w:val="Style7"/>
        <w:keepNext w:val="0"/>
        <w:keepLines w:val="0"/>
        <w:widowControl w:val="0"/>
        <w:shd w:val="clear" w:color="auto" w:fill="auto"/>
        <w:tabs>
          <w:tab w:pos="2524" w:val="left"/>
        </w:tabs>
        <w:bidi w:val="0"/>
        <w:spacing w:line="194" w:lineRule="auto"/>
        <w:ind w:left="0" w:firstLine="36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 xml:space="preserve">23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277.</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@@@2β Portions of this work have been edited at various times, but a complete</w:t>
      </w:r>
    </w:p>
    <w:p>
      <w:pPr>
        <w:pStyle w:val="Style7"/>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 xml:space="preserve">edition is still unachieved. Larsow made a very small beginning in 1858. See the list in Nestle’s </w:t>
      </w:r>
      <w:r>
        <w:rPr>
          <w:i/>
          <w:iCs/>
          <w:spacing w:val="0"/>
          <w:w w:val="100"/>
          <w:position w:val="0"/>
          <w:shd w:val="clear" w:color="auto" w:fill="auto"/>
          <w:lang w:val="en-US" w:eastAsia="en-US" w:bidi="en-US"/>
        </w:rPr>
        <w:t xml:space="preserve">Brevis </w:t>
      </w:r>
      <w:r>
        <w:rPr>
          <w:i/>
          <w:iCs/>
          <w:spacing w:val="0"/>
          <w:w w:val="100"/>
          <w:position w:val="0"/>
          <w:shd w:val="clear" w:color="auto" w:fill="auto"/>
          <w:lang w:val="fr-FR" w:eastAsia="fr-FR" w:bidi="fr-FR"/>
        </w:rPr>
        <w:t xml:space="preserve">Linguæ </w:t>
      </w:r>
      <w:r>
        <w:rPr>
          <w:i/>
          <w:iCs/>
          <w:spacing w:val="0"/>
          <w:w w:val="100"/>
          <w:position w:val="0"/>
          <w:shd w:val="clear" w:color="auto" w:fill="auto"/>
          <w:lang w:val="en-US" w:eastAsia="en-US" w:bidi="en-US"/>
        </w:rPr>
        <w:t xml:space="preserve">Syr. </w:t>
      </w:r>
      <w:r>
        <w:rPr>
          <w:i/>
          <w:iCs/>
          <w:spacing w:val="0"/>
          <w:w w:val="100"/>
          <w:position w:val="0"/>
          <w:shd w:val="clear" w:color="auto" w:fill="auto"/>
          <w:lang w:val="la-001" w:eastAsia="la-001" w:bidi="la-001"/>
        </w:rPr>
        <w:t>Grammatica,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1881, pp. 31-32. MSS. of</w:t>
      </w:r>
    </w:p>
    <w:p>
      <w:pPr>
        <w:pStyle w:val="Style7"/>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this work—Cod. Vat. clxx., eclxxxii.;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xxvi.; Bodl. Hunt. 1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7186, 21580, 23596; Berlin, Alt. Best. 11,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134; Gōttingen, Orient. ISa ; Cambridge, coll, of the S.P.C.K.</w:t>
      </w:r>
    </w:p>
    <w:p>
      <w:pPr>
        <w:pStyle w:val="Style7"/>
        <w:keepNext w:val="0"/>
        <w:keepLines w:val="0"/>
        <w:widowControl w:val="0"/>
        <w:shd w:val="clear" w:color="auto" w:fill="auto"/>
        <w:tabs>
          <w:tab w:pos="277" w:val="left"/>
        </w:tabs>
        <w:bidi w:val="0"/>
        <w:spacing w:line="192" w:lineRule="auto"/>
        <w:ind w:left="0" w:firstLine="360"/>
        <w:jc w:val="left"/>
      </w:pP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284. MSS.—Cod. Vat. clxviii.;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121 ; Cambridge, coll, of the S.P.C.K. This work has been translated into Arabic—Paris, Anc. </w:t>
      </w:r>
      <w:r>
        <w:rPr>
          <w:spacing w:val="0"/>
          <w:w w:val="100"/>
          <w:position w:val="0"/>
          <w:shd w:val="clear" w:color="auto" w:fill="auto"/>
          <w:lang w:val="fr-FR" w:eastAsia="fr-FR" w:bidi="fr-FR"/>
        </w:rPr>
        <w:t xml:space="preserve">fonds </w:t>
      </w:r>
      <w:r>
        <w:rPr>
          <w:spacing w:val="0"/>
          <w:w w:val="100"/>
          <w:position w:val="0"/>
          <w:shd w:val="clear" w:color="auto" w:fill="auto"/>
          <w:lang w:val="en-US" w:eastAsia="en-US" w:bidi="en-US"/>
        </w:rPr>
        <w:t xml:space="preserve">128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18296 ; Bodl. Hunt. 48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81 ; Cambridge, coll, of the S.P.C.K. Mr R. J. H. </w:t>
      </w:r>
      <w:r>
        <w:rPr>
          <w:spacing w:val="0"/>
          <w:w w:val="100"/>
          <w:position w:val="0"/>
          <w:shd w:val="clear" w:color="auto" w:fill="auto"/>
          <w:lang w:val="de-DE" w:eastAsia="de-DE" w:bidi="de-DE"/>
        </w:rPr>
        <w:t xml:space="preserve">Gottheil </w:t>
      </w:r>
      <w:r>
        <w:rPr>
          <w:spacing w:val="0"/>
          <w:w w:val="100"/>
          <w:position w:val="0"/>
          <w:shd w:val="clear" w:color="auto" w:fill="auto"/>
          <w:lang w:val="en-US" w:eastAsia="en-US" w:bidi="en-US"/>
        </w:rPr>
        <w:t xml:space="preserve">has recently lithographed, “for priVate circulation only,” a small portion of this work, viz., basis ii., ch. iii. sect. 3, paragr.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on plants (26 pp. of text, 8 pp. of preface) ; the title is </w:t>
      </w:r>
      <w:r>
        <w:rPr>
          <w:i/>
          <w:iCs/>
          <w:spacing w:val="0"/>
          <w:w w:val="100"/>
          <w:position w:val="0"/>
          <w:shd w:val="clear" w:color="auto" w:fill="auto"/>
          <w:lang w:val="en-US" w:eastAsia="en-US" w:bidi="en-US"/>
        </w:rPr>
        <w:t xml:space="preserve">A list of Plants and their Properties from the </w:t>
      </w:r>
      <w:r>
        <w:rPr>
          <w:i/>
          <w:iCs/>
          <w:spacing w:val="0"/>
          <w:w w:val="100"/>
          <w:position w:val="0"/>
          <w:shd w:val="clear" w:color="auto" w:fill="auto"/>
          <w:lang w:val="de-DE" w:eastAsia="de-DE" w:bidi="de-DE"/>
        </w:rPr>
        <w:t xml:space="preserve">Menāruth </w:t>
      </w:r>
      <w:r>
        <w:rPr>
          <w:i/>
          <w:iCs/>
          <w:spacing w:val="0"/>
          <w:w w:val="100"/>
          <w:position w:val="0"/>
          <w:shd w:val="clear" w:color="auto" w:fill="auto"/>
          <w:lang w:val="fr-FR" w:eastAsia="fr-FR" w:bidi="fr-FR"/>
        </w:rPr>
        <w:t xml:space="preserve">Kudhsē </w:t>
      </w:r>
      <w:r>
        <w:rPr>
          <w:i/>
          <w:iCs/>
          <w:spacing w:val="0"/>
          <w:w w:val="100"/>
          <w:position w:val="0"/>
          <w:shd w:val="clear" w:color="auto" w:fill="auto"/>
          <w:lang w:val="en-US" w:eastAsia="en-US" w:bidi="en-US"/>
        </w:rPr>
        <w:t xml:space="preserve">of Gregorius bar Ebhraya edited by </w:t>
      </w:r>
      <w:r>
        <w:rPr>
          <w:i/>
          <w:iCs/>
          <w:spacing w:val="0"/>
          <w:w w:val="100"/>
          <w:position w:val="0"/>
          <w:shd w:val="clear" w:color="auto" w:fill="auto"/>
          <w:lang w:val="fr-FR" w:eastAsia="fr-FR" w:bidi="fr-FR"/>
        </w:rPr>
        <w:t xml:space="preserve">Richard </w:t>
      </w:r>
      <w:r>
        <w:rPr>
          <w:i/>
          <w:iCs/>
          <w:spacing w:val="0"/>
          <w:w w:val="100"/>
          <w:position w:val="0"/>
          <w:shd w:val="clear" w:color="auto" w:fill="auto"/>
          <w:lang w:val="en-US" w:eastAsia="en-US" w:bidi="en-US"/>
        </w:rPr>
        <w:t xml:space="preserve">J. II. </w:t>
      </w:r>
      <w:r>
        <w:rPr>
          <w:i/>
          <w:iCs/>
          <w:spacing w:val="0"/>
          <w:w w:val="100"/>
          <w:position w:val="0"/>
          <w:shd w:val="clear" w:color="auto" w:fill="auto"/>
          <w:lang w:val="de-DE" w:eastAsia="de-DE" w:bidi="de-DE"/>
        </w:rPr>
        <w:t xml:space="preserve">Gottheil, </w:t>
      </w:r>
      <w:r>
        <w:rPr>
          <w:i/>
          <w:iCs/>
          <w:spacing w:val="0"/>
          <w:w w:val="100"/>
          <w:position w:val="0"/>
          <w:shd w:val="clear" w:color="auto" w:fill="auto"/>
          <w:lang w:val="en-US" w:eastAsia="en-US" w:bidi="en-US"/>
        </w:rPr>
        <w:t>B.A.</w:t>
      </w:r>
    </w:p>
    <w:p>
      <w:pPr>
        <w:pStyle w:val="Style7"/>
        <w:keepNext w:val="0"/>
        <w:keepLines w:val="0"/>
        <w:widowControl w:val="0"/>
        <w:shd w:val="clear" w:color="auto" w:fill="auto"/>
        <w:tabs>
          <w:tab w:pos="277" w:val="left"/>
        </w:tabs>
        <w:bidi w:val="0"/>
        <w:spacing w:line="204" w:lineRule="auto"/>
        <w:ind w:left="0" w:firstLine="36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28</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297. MSS.—Cod. Vat. clxix.; Bodl. Or. 467, Hunt. 521 ; Paris, Anc. </w:t>
      </w:r>
      <w:r>
        <w:rPr>
          <w:spacing w:val="0"/>
          <w:w w:val="100"/>
          <w:position w:val="0"/>
          <w:shd w:val="clear" w:color="auto" w:fill="auto"/>
          <w:lang w:val="fr-FR" w:eastAsia="fr-FR" w:bidi="fr-FR"/>
        </w:rPr>
        <w:t xml:space="preserve">fonds </w:t>
      </w:r>
      <w:r>
        <w:rPr>
          <w:spacing w:val="0"/>
          <w:w w:val="100"/>
          <w:position w:val="0"/>
          <w:shd w:val="clear" w:color="auto" w:fill="auto"/>
          <w:lang w:val="en-US" w:eastAsia="en-US" w:bidi="en-US"/>
        </w:rPr>
        <w:t xml:space="preserve">129,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59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1017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85; Cambridge, coll, of the S.P.C.K.</w:t>
      </w:r>
    </w:p>
    <w:p>
      <w:pPr>
        <w:pStyle w:val="Style7"/>
        <w:keepNext w:val="0"/>
        <w:keepLines w:val="0"/>
        <w:widowControl w:val="0"/>
        <w:shd w:val="clear" w:color="auto" w:fill="auto"/>
        <w:tabs>
          <w:tab w:pos="281" w:val="left"/>
        </w:tabs>
        <w:bidi w:val="0"/>
        <w:spacing w:line="192" w:lineRule="auto"/>
        <w:ind w:left="0" w:firstLine="360"/>
        <w:jc w:val="left"/>
      </w:pPr>
      <w:r>
        <w:rPr>
          <w:spacing w:val="0"/>
          <w:w w:val="100"/>
          <w:position w:val="0"/>
          <w:shd w:val="clear" w:color="auto" w:fill="auto"/>
          <w:lang w:val="en-US" w:eastAsia="en-US" w:bidi="en-US"/>
        </w:rPr>
        <w:t>@@@29</w:t>
        <w:tab/>
        <w:t xml:space="preserve">MSS.—Cod. </w:t>
      </w:r>
      <w:r>
        <w:rPr>
          <w:rFonts w:ascii="Arial Unicode MS" w:eastAsia="Arial Unicode MS" w:hAnsi="Arial Unicode MS" w:cs="Arial Unicode MS"/>
          <w:spacing w:val="0"/>
          <w:w w:val="100"/>
          <w:position w:val="0"/>
          <w:sz w:val="11"/>
          <w:szCs w:val="11"/>
          <w:shd w:val="clear" w:color="auto" w:fill="auto"/>
          <w:lang w:val="en-US" w:eastAsia="en-US" w:bidi="en-US"/>
        </w:rPr>
        <w:t>∖</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at. clxxi. ; Bodl. Marsh. 681, Hunt. 490;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7194, 7195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122,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75. There are two Arabic translations of this work ; see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201, No. 247.</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@@@3θ Bodl. Hunt. 1 ; Cambridge, coll, of the S.P.C.K. There is an Arabic translation,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126, 145 </w:t>
      </w:r>
      <w:r>
        <w:rPr>
          <w:spacing w:val="0"/>
          <w:w w:val="100"/>
          <w:position w:val="0"/>
          <w:shd w:val="clear" w:color="auto" w:fill="auto"/>
          <w:lang w:val="de-DE" w:eastAsia="de-DE" w:bidi="de-DE"/>
        </w:rPr>
        <w:t xml:space="preserve">(ff. </w:t>
      </w:r>
      <w:r>
        <w:rPr>
          <w:spacing w:val="0"/>
          <w:w w:val="100"/>
          <w:position w:val="0"/>
          <w:shd w:val="clear" w:color="auto" w:fill="auto"/>
          <w:lang w:val="en-US" w:eastAsia="en-US" w:bidi="en-US"/>
        </w:rPr>
        <w:t>292-299).</w:t>
      </w:r>
    </w:p>
    <w:p>
      <w:pPr>
        <w:pStyle w:val="Style7"/>
        <w:keepNext w:val="0"/>
        <w:keepLines w:val="0"/>
        <w:widowControl w:val="0"/>
        <w:shd w:val="clear" w:color="auto" w:fill="auto"/>
        <w:tabs>
          <w:tab w:pos="281" w:val="left"/>
        </w:tabs>
        <w:bidi w:val="0"/>
        <w:spacing w:line="192" w:lineRule="auto"/>
        <w:ind w:left="0" w:firstLine="360"/>
        <w:jc w:val="left"/>
      </w:pPr>
      <w:r>
        <w:rPr>
          <w:spacing w:val="0"/>
          <w:w w:val="100"/>
          <w:position w:val="0"/>
          <w:shd w:val="clear" w:color="auto" w:fill="auto"/>
          <w:lang w:val="en-US" w:eastAsia="en-US" w:bidi="en-US"/>
        </w:rPr>
        <w:t>@@@31</w:t>
        <w:tab/>
        <w:t xml:space="preserve">Probably a production of Stephen bar </w:t>
      </w:r>
      <w:r>
        <w:rPr>
          <w:spacing w:val="0"/>
          <w:w w:val="100"/>
          <w:position w:val="0"/>
          <w:shd w:val="clear" w:color="auto" w:fill="auto"/>
          <w:lang w:val="fr-FR" w:eastAsia="fr-FR" w:bidi="fr-FR"/>
        </w:rPr>
        <w:t xml:space="preserve">Sūdh-ailē </w:t>
      </w:r>
      <w:r>
        <w:rPr>
          <w:spacing w:val="0"/>
          <w:w w:val="100"/>
          <w:position w:val="0"/>
          <w:shd w:val="clear" w:color="auto" w:fill="auto"/>
          <w:lang w:val="en-US" w:eastAsia="en-US" w:bidi="en-US"/>
        </w:rPr>
        <w:t xml:space="preserve">;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7189, where we have the commentary of Theodosius, patriarch of Antioch, and com</w:t>
        <w:softHyphen/>
        <w:t xml:space="preserve">pare Frothingham, </w:t>
      </w:r>
      <w:r>
        <w:rPr>
          <w:i/>
          <w:iCs/>
          <w:spacing w:val="0"/>
          <w:w w:val="100"/>
          <w:position w:val="0"/>
          <w:shd w:val="clear" w:color="auto" w:fill="auto"/>
          <w:lang w:val="en-US" w:eastAsia="en-US" w:bidi="en-US"/>
        </w:rPr>
        <w:t>Stephen bar Sudaili,</w:t>
      </w:r>
      <w:r>
        <w:rPr>
          <w:spacing w:val="0"/>
          <w:w w:val="100"/>
          <w:position w:val="0"/>
          <w:shd w:val="clear" w:color="auto" w:fill="auto"/>
          <w:lang w:val="en-US" w:eastAsia="en-US" w:bidi="en-US"/>
        </w:rPr>
        <w:t xml:space="preserve"> p. 87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See also above, p. 432.</w:t>
      </w:r>
    </w:p>
    <w:p>
      <w:pPr>
        <w:pStyle w:val="Style7"/>
        <w:keepNext w:val="0"/>
        <w:keepLines w:val="0"/>
        <w:widowControl w:val="0"/>
        <w:shd w:val="clear" w:color="auto" w:fill="auto"/>
        <w:tabs>
          <w:tab w:pos="346" w:val="left"/>
        </w:tabs>
        <w:bidi w:val="0"/>
        <w:spacing w:line="192" w:lineRule="auto"/>
        <w:ind w:left="0" w:firstLine="360"/>
        <w:jc w:val="left"/>
      </w:pPr>
      <w:r>
        <w:rPr>
          <w:spacing w:val="0"/>
          <w:w w:val="100"/>
          <w:position w:val="0"/>
          <w:shd w:val="clear" w:color="auto" w:fill="auto"/>
          <w:lang w:val="en-US" w:eastAsia="en-US" w:bidi="en-US"/>
        </w:rPr>
        <w:t>@@@32</w:t>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1017. Other MSS.—Paris,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138 ; Berlin, </w:t>
      </w:r>
      <w:r>
        <w:rPr>
          <w:spacing w:val="0"/>
          <w:w w:val="100"/>
          <w:position w:val="0"/>
          <w:shd w:val="clear" w:color="auto" w:fill="auto"/>
          <w:lang w:val="de-DE" w:eastAsia="de-DE" w:bidi="de-DE"/>
        </w:rPr>
        <w:t>Sachau</w:t>
      </w:r>
    </w:p>
    <w:p>
      <w:pPr>
        <w:pStyle w:val="Style7"/>
        <w:keepNext w:val="0"/>
        <w:keepLines w:val="0"/>
        <w:widowControl w:val="0"/>
        <w:shd w:val="clear" w:color="auto" w:fill="auto"/>
        <w:tabs>
          <w:tab w:pos="1278" w:val="left"/>
          <w:tab w:pos="2599" w:val="left"/>
        </w:tabs>
        <w:bidi w:val="0"/>
        <w:spacing w:line="192" w:lineRule="auto"/>
        <w:ind w:left="0" w:firstLine="0"/>
        <w:jc w:val="left"/>
      </w:pPr>
      <w:r>
        <w:rPr>
          <w:spacing w:val="0"/>
          <w:w w:val="100"/>
          <w:position w:val="0"/>
          <w:shd w:val="clear" w:color="auto" w:fill="auto"/>
          <w:lang w:val="en-US" w:eastAsia="en-US" w:bidi="en-US"/>
        </w:rPr>
        <w:t xml:space="preserve">206. The work seems to have been translated into Arabic (see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176).</w:t>
        <w:tab/>
      </w:r>
    </w:p>
    <w:p>
      <w:pPr>
        <w:pStyle w:val="Style7"/>
        <w:keepNext w:val="0"/>
        <w:keepLines w:val="0"/>
        <w:widowControl w:val="0"/>
        <w:shd w:val="clear" w:color="auto" w:fill="auto"/>
        <w:tabs>
          <w:tab w:pos="1278" w:val="left"/>
          <w:tab w:pos="2599" w:val="left"/>
        </w:tabs>
        <w:bidi w:val="0"/>
        <w:spacing w:line="192" w:lineRule="auto"/>
        <w:ind w:left="0" w:firstLine="0"/>
        <w:jc w:val="left"/>
      </w:pPr>
      <w:r>
        <w:rPr>
          <w:spacing w:val="0"/>
          <w:w w:val="100"/>
          <w:position w:val="0"/>
          <w:shd w:val="clear" w:color="auto" w:fill="auto"/>
          <w:lang w:val="en-US" w:eastAsia="en-US" w:bidi="en-US"/>
        </w:rPr>
        <w:t xml:space="preserve">@@@33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275.</w:t>
        <w:tab/>
      </w:r>
    </w:p>
    <w:p>
      <w:pPr>
        <w:pStyle w:val="Style7"/>
        <w:keepNext w:val="0"/>
        <w:keepLines w:val="0"/>
        <w:widowControl w:val="0"/>
        <w:shd w:val="clear" w:color="auto" w:fill="auto"/>
        <w:tabs>
          <w:tab w:pos="1278" w:val="left"/>
          <w:tab w:pos="2599" w:val="left"/>
        </w:tabs>
        <w:bidi w:val="0"/>
        <w:spacing w:line="192" w:lineRule="auto"/>
        <w:ind w:left="0" w:firstLine="0"/>
        <w:jc w:val="left"/>
      </w:pPr>
      <w:r>
        <w:rPr>
          <w:spacing w:val="0"/>
          <w:w w:val="100"/>
          <w:position w:val="0"/>
          <w:shd w:val="clear" w:color="auto" w:fill="auto"/>
          <w:lang w:val="en-US" w:eastAsia="en-US" w:bidi="en-US"/>
        </w:rPr>
        <w:t xml:space="preserve">@@@34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276 ; Cod. Vat. clxxiii.</w:t>
      </w:r>
    </w:p>
    <w:p>
      <w:pPr>
        <w:pStyle w:val="Style7"/>
        <w:keepNext w:val="0"/>
        <w:keepLines w:val="0"/>
        <w:widowControl w:val="0"/>
        <w:shd w:val="clear" w:color="auto" w:fill="auto"/>
        <w:tabs>
          <w:tab w:pos="338" w:val="left"/>
        </w:tabs>
        <w:bidi w:val="0"/>
        <w:spacing w:line="192" w:lineRule="auto"/>
        <w:ind w:left="0" w:firstLine="360"/>
        <w:jc w:val="left"/>
      </w:pPr>
      <w:r>
        <w:rPr>
          <w:spacing w:val="0"/>
          <w:w w:val="100"/>
          <w:position w:val="0"/>
          <w:shd w:val="clear" w:color="auto" w:fill="auto"/>
          <w:lang w:val="en-US" w:eastAsia="en-US" w:bidi="en-US"/>
        </w:rPr>
        <w:t>@@@35</w:t>
        <w:tab/>
        <w:t xml:space="preserve">See Cod. Vat. lii.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97 ; Medic.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xliv.</w:t>
      </w:r>
    </w:p>
    <w:p>
      <w:pPr>
        <w:pStyle w:val="Style7"/>
        <w:keepNext w:val="0"/>
        <w:keepLines w:val="0"/>
        <w:widowControl w:val="0"/>
        <w:shd w:val="clear" w:color="auto" w:fill="auto"/>
        <w:tabs>
          <w:tab w:pos="338" w:val="left"/>
        </w:tabs>
        <w:bidi w:val="0"/>
        <w:spacing w:line="228" w:lineRule="auto"/>
        <w:ind w:left="0" w:firstLine="36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36</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299. Rendered into Latin by J. A. Assemani in Mai, </w:t>
      </w:r>
      <w:r>
        <w:rPr>
          <w:i/>
          <w:iCs/>
          <w:spacing w:val="0"/>
          <w:w w:val="100"/>
          <w:position w:val="0"/>
          <w:shd w:val="clear" w:color="auto" w:fill="auto"/>
          <w:lang w:val="en-US" w:eastAsia="en-US" w:bidi="en-US"/>
        </w:rPr>
        <w:t>Scriptt. Vett.</w:t>
      </w:r>
    </w:p>
    <w:p>
      <w:pPr>
        <w:pStyle w:val="Style7"/>
        <w:keepNext w:val="0"/>
        <w:keepLines w:val="0"/>
        <w:widowControl w:val="0"/>
        <w:shd w:val="clear" w:color="auto" w:fill="auto"/>
        <w:tabs>
          <w:tab w:pos="2707" w:val="left"/>
        </w:tabs>
        <w:bidi w:val="0"/>
        <w:spacing w:line="192" w:lineRule="auto"/>
        <w:ind w:left="0" w:firstLine="0"/>
        <w:jc w:val="left"/>
      </w:pPr>
      <w:r>
        <w:rPr>
          <w:i/>
          <w:iCs/>
          <w:spacing w:val="0"/>
          <w:w w:val="100"/>
          <w:position w:val="0"/>
          <w:shd w:val="clear" w:color="auto" w:fill="auto"/>
          <w:lang w:val="en-US" w:eastAsia="en-US" w:bidi="en-US"/>
        </w:rPr>
        <w:t>Nova Coll.,</w:t>
      </w:r>
      <w:r>
        <w:rPr>
          <w:spacing w:val="0"/>
          <w:w w:val="100"/>
          <w:position w:val="0"/>
          <w:shd w:val="clear" w:color="auto" w:fill="auto"/>
          <w:lang w:val="en-US" w:eastAsia="en-US" w:bidi="en-US"/>
        </w:rPr>
        <w:t xml:space="preserve"> X. MSS.—Cod.V'at. cxxxii., ccclvi.-vii., ccclviii.-ix.; Bodl. Hunt. 1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140 ; Berlin, Alt. Best. 40 ;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Medic, lxi. It has been translated into Arabic.</w:t>
        <w:tab/>
      </w:r>
    </w:p>
    <w:p>
      <w:pPr>
        <w:pStyle w:val="Style7"/>
        <w:keepNext w:val="0"/>
        <w:keepLines w:val="0"/>
        <w:widowControl w:val="0"/>
        <w:shd w:val="clear" w:color="auto" w:fill="auto"/>
        <w:tabs>
          <w:tab w:pos="2707" w:val="left"/>
        </w:tabs>
        <w:bidi w:val="0"/>
        <w:spacing w:line="192" w:lineRule="auto"/>
        <w:ind w:left="0" w:firstLine="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 xml:space="preserve">37 </w:t>
      </w:r>
      <w:r>
        <w:rPr>
          <w:spacing w:val="0"/>
          <w:w w:val="100"/>
          <w:position w:val="0"/>
          <w:shd w:val="clear" w:color="auto" w:fill="auto"/>
          <w:lang w:val="en-US" w:eastAsia="en-US" w:bidi="en-US"/>
        </w:rPr>
        <w:t>23.O., ii. 311.</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@@@36 This has been edited under the title of </w:t>
      </w:r>
      <w:r>
        <w:rPr>
          <w:i/>
          <w:iCs/>
          <w:spacing w:val="0"/>
          <w:w w:val="100"/>
          <w:position w:val="0"/>
          <w:shd w:val="clear" w:color="auto" w:fill="auto"/>
          <w:lang w:val="en-US" w:eastAsia="en-US" w:bidi="en-US"/>
        </w:rPr>
        <w:t xml:space="preserve">Bar-Hebrtei Chronicon </w:t>
      </w:r>
      <w:r>
        <w:rPr>
          <w:i/>
          <w:iCs/>
          <w:spacing w:val="0"/>
          <w:w w:val="100"/>
          <w:position w:val="0"/>
          <w:shd w:val="clear" w:color="auto" w:fill="auto"/>
          <w:lang w:val="la-001" w:eastAsia="la-001" w:bidi="la-001"/>
        </w:rPr>
        <w:t>Syriacum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by Bruns and Kirsch, with a Latin translation, in two volumes, 1789. Both text and translation are equally bad, and the work deserves a new edition.</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w:t>
      </w:r>
      <w:r>
        <w:rPr>
          <w:b/>
          <w:bCs/>
          <w:spacing w:val="0"/>
          <w:w w:val="100"/>
          <w:position w:val="0"/>
          <w:sz w:val="11"/>
          <w:szCs w:val="11"/>
          <w:shd w:val="clear" w:color="auto" w:fill="auto"/>
          <w:lang w:val="en-US" w:eastAsia="en-US" w:bidi="en-US"/>
        </w:rPr>
        <w:t xml:space="preserve">39 </w:t>
      </w:r>
      <w:r>
        <w:rPr>
          <w:spacing w:val="0"/>
          <w:w w:val="100"/>
          <w:position w:val="0"/>
          <w:shd w:val="clear" w:color="auto" w:fill="auto"/>
          <w:lang w:val="en-US" w:eastAsia="en-US" w:bidi="en-US"/>
        </w:rPr>
        <w:t xml:space="preserve">Parts ii. and iii., which supplied Assemani with the greatest part of the materials for the second volume of his </w:t>
      </w:r>
      <w:r>
        <w:rPr>
          <w:i/>
          <w:iCs/>
          <w:spacing w:val="0"/>
          <w:w w:val="100"/>
          <w:position w:val="0"/>
          <w:shd w:val="clear" w:color="auto" w:fill="auto"/>
          <w:lang w:val="la-001" w:eastAsia="la-001" w:bidi="la-001"/>
        </w:rPr>
        <w:t>Bibl. Orientalis,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have been edited by </w:t>
      </w:r>
      <w:r>
        <w:rPr>
          <w:spacing w:val="0"/>
          <w:w w:val="100"/>
          <w:position w:val="0"/>
          <w:shd w:val="clear" w:color="auto" w:fill="auto"/>
          <w:lang w:val="fr-FR" w:eastAsia="fr-FR" w:bidi="fr-FR"/>
        </w:rPr>
        <w:t xml:space="preserve">Abbeloos </w:t>
      </w:r>
      <w:r>
        <w:rPr>
          <w:spacing w:val="0"/>
          <w:w w:val="100"/>
          <w:position w:val="0"/>
          <w:shd w:val="clear" w:color="auto" w:fill="auto"/>
          <w:lang w:val="en-US" w:eastAsia="en-US" w:bidi="en-US"/>
        </w:rPr>
        <w:t xml:space="preserve">and Lamy in three volumes, viz., part ii. in two volumes, 1872-74, and part iii. in one volume, 1877, accompanied by a Latin translation and notes. It might be advantageously reprinted, if revised by a competent hand. MSS. of the entire history are—Cod. Vat. clxvi., ccclxxxiii.-viii. ; Bodl. Hunt. 1 ;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cxviii. Part i. is contained in Cod. Vat. clxvii. and Bodl. Hunt. 52 ; parts ii. and iii.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7198 and Cambridge Dd. 3, 8, 1, as also in the coll, of the S.P.C.K. Whether the Berlin MS.,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210, contains the entire work or only a part of it we do not know ; it is simply described as </w:t>
      </w:r>
      <w:r>
        <w:rPr>
          <w:spacing w:val="0"/>
          <w:w w:val="100"/>
          <w:position w:val="0"/>
          <w:shd w:val="clear" w:color="auto" w:fill="auto"/>
          <w:lang w:val="de-DE" w:eastAsia="de-DE" w:bidi="de-DE"/>
        </w:rPr>
        <w:t xml:space="preserve">“Chronik des </w:t>
      </w:r>
      <w:r>
        <w:rPr>
          <w:spacing w:val="0"/>
          <w:w w:val="100"/>
          <w:position w:val="0"/>
          <w:shd w:val="clear" w:color="auto" w:fill="auto"/>
          <w:lang w:val="en-US" w:eastAsia="en-US" w:bidi="en-US"/>
        </w:rPr>
        <w:t>Bar Hebrteus.” There are excerpts in Cod. Vat. clxxiii.</w:t>
      </w:r>
    </w:p>
    <w:p>
      <w:pPr>
        <w:widowControl w:val="0"/>
        <w:spacing w:line="1" w:lineRule="exact"/>
      </w:pPr>
    </w:p>
    <w:sectPr>
      <w:footnotePr>
        <w:pos w:val="pageBottom"/>
        <w:numFmt w:val="decimal"/>
        <w:numRestart w:val="continuous"/>
      </w:footnotePr>
      <w:type w:val="continuous"/>
      <w:pgSz w:w="12240" w:h="16840"/>
      <w:pgMar w:top="1632" w:left="1411" w:right="1455"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