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of such tables is to give log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by only one entry when log </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and log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are given (see </w:t>
      </w:r>
      <w:r>
        <w:rPr>
          <w:smallCaps/>
          <w:color w:val="000000"/>
          <w:spacing w:val="0"/>
          <w:w w:val="100"/>
          <w:position w:val="0"/>
          <w:shd w:val="clear" w:color="auto" w:fill="auto"/>
          <w:lang w:val="en-US" w:eastAsia="en-US" w:bidi="en-US"/>
        </w:rPr>
        <w:t>Logarithms,</w:t>
      </w:r>
      <w:r>
        <w:rPr>
          <w:color w:val="000000"/>
          <w:spacing w:val="0"/>
          <w:w w:val="100"/>
          <w:position w:val="0"/>
          <w:shd w:val="clear" w:color="auto" w:fill="auto"/>
          <w:lang w:val="en-US" w:eastAsia="en-US" w:bidi="en-US"/>
        </w:rPr>
        <w:t xml:space="preserve"> vol. xiv. p. 777). Let</w:t>
      </w:r>
    </w:p>
    <w:p>
      <w:pPr>
        <w:pStyle w:val="Style3"/>
        <w:keepNext w:val="0"/>
        <w:keepLines w:val="0"/>
        <w:widowControl w:val="0"/>
        <w:shd w:val="clear" w:color="auto" w:fill="auto"/>
        <w:bidi w:val="0"/>
        <w:spacing w:line="218" w:lineRule="auto"/>
        <w:ind w:left="0" w:firstLine="0"/>
        <w:jc w:val="left"/>
      </w:pPr>
      <w:r>
        <w:rPr>
          <w:i/>
          <w:iCs/>
          <w:color w:val="000000"/>
          <w:spacing w:val="0"/>
          <w:w w:val="100"/>
          <w:position w:val="0"/>
          <w:sz w:val="13"/>
          <w:szCs w:val="13"/>
          <w:shd w:val="clear" w:color="auto" w:fill="auto"/>
          <w:lang w:val="en-US" w:eastAsia="en-US" w:bidi="en-US"/>
        </w:rPr>
        <w:t>A</w:t>
      </w:r>
      <w:r>
        <w:rPr>
          <w:i/>
          <w:iCs/>
          <w:color w:val="000000"/>
          <w:spacing w:val="0"/>
          <w:w w:val="100"/>
          <w:position w:val="0"/>
          <w:shd w:val="clear" w:color="auto" w:fill="auto"/>
          <w:lang w:val="en-US" w:eastAsia="en-US" w:bidi="en-US"/>
        </w:rPr>
        <w:t>=logx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=log(l + 1/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=log (l+</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352" w:val="left"/>
        </w:tabs>
        <w:bidi w:val="0"/>
        <w:spacing w:line="221" w:lineRule="auto"/>
        <w:ind w:left="0" w:firstLine="0"/>
        <w:jc w:val="left"/>
      </w:pPr>
      <w:r>
        <w:rPr>
          <w:color w:val="000000"/>
          <w:spacing w:val="0"/>
          <w:w w:val="100"/>
          <w:position w:val="0"/>
          <w:shd w:val="clear" w:color="auto" w:fill="auto"/>
          <w:lang w:val="en-US" w:eastAsia="en-US" w:bidi="en-US"/>
        </w:rPr>
        <w:t xml:space="preserve">Leaving out the specimen table in Leonelli’s </w:t>
      </w:r>
      <w:r>
        <w:rPr>
          <w:i/>
          <w:iCs/>
          <w:color w:val="000000"/>
          <w:spacing w:val="0"/>
          <w:w w:val="100"/>
          <w:position w:val="0"/>
          <w:shd w:val="clear" w:color="auto" w:fill="auto"/>
          <w:lang w:val="fr-FR" w:eastAsia="fr-FR" w:bidi="fr-FR"/>
        </w:rPr>
        <w:t xml:space="preserve">Théorie des Logarithmes Additionnels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fr-FR" w:eastAsia="fr-FR" w:bidi="fr-FR"/>
        </w:rPr>
        <w:t>Déductifs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(Bordeaux, 1803), the principal tables are the following. Gauss, in Zach’s </w:t>
      </w:r>
      <w:r>
        <w:rPr>
          <w:i/>
          <w:iCs/>
          <w:color w:val="000000"/>
          <w:spacing w:val="0"/>
          <w:w w:val="100"/>
          <w:position w:val="0"/>
          <w:shd w:val="clear" w:color="auto" w:fill="auto"/>
          <w:lang w:val="de-DE" w:eastAsia="de-DE" w:bidi="de-DE"/>
        </w:rPr>
        <w:t xml:space="preserve">Monatliche </w:t>
      </w:r>
      <w:r>
        <w:rPr>
          <w:i/>
          <w:iCs/>
          <w:color w:val="000000"/>
          <w:spacing w:val="0"/>
          <w:w w:val="100"/>
          <w:position w:val="0"/>
          <w:shd w:val="clear" w:color="auto" w:fill="auto"/>
          <w:lang w:val="en-US" w:eastAsia="en-US" w:bidi="en-US"/>
        </w:rPr>
        <w:t>Correspondenz</w:t>
      </w:r>
      <w:r>
        <w:rPr>
          <w:color w:val="000000"/>
          <w:spacing w:val="0"/>
          <w:w w:val="100"/>
          <w:position w:val="0"/>
          <w:shd w:val="clear" w:color="auto" w:fill="auto"/>
          <w:lang w:val="en-US" w:eastAsia="en-US" w:bidi="en-US"/>
        </w:rPr>
        <w:t xml:space="preserve"> (1812), giving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0 to 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001, thence to 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40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and to 5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all to 5 places. This table is reprinted in Gauss’s </w:t>
      </w:r>
      <w:r>
        <w:rPr>
          <w:i/>
          <w:iCs/>
          <w:color w:val="000000"/>
          <w:spacing w:val="0"/>
          <w:w w:val="100"/>
          <w:position w:val="0"/>
          <w:shd w:val="clear" w:color="auto" w:fill="auto"/>
          <w:lang w:val="de-DE" w:eastAsia="de-DE" w:bidi="de-DE"/>
        </w:rPr>
        <w:t>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iii. p. 244. Matthiessen, </w:t>
      </w:r>
      <w:r>
        <w:rPr>
          <w:i/>
          <w:iCs/>
          <w:color w:val="000000"/>
          <w:spacing w:val="0"/>
          <w:w w:val="100"/>
          <w:position w:val="0"/>
          <w:shd w:val="clear" w:color="auto" w:fill="auto"/>
          <w:lang w:val="de-DE" w:eastAsia="de-DE" w:bidi="de-DE"/>
        </w:rPr>
        <w:t>Tafel zur bequemem Berechnung</w:t>
      </w:r>
      <w:r>
        <w:rPr>
          <w:color w:val="000000"/>
          <w:spacing w:val="0"/>
          <w:w w:val="100"/>
          <w:position w:val="0"/>
          <w:shd w:val="clear" w:color="auto" w:fill="auto"/>
          <w:lang w:val="de-DE" w:eastAsia="de-DE" w:bidi="de-DE"/>
        </w:rPr>
        <w:t xml:space="preserve"> (Altona, </w:t>
      </w:r>
      <w:r>
        <w:rPr>
          <w:color w:val="000000"/>
          <w:spacing w:val="0"/>
          <w:w w:val="100"/>
          <w:position w:val="0"/>
          <w:shd w:val="clear" w:color="auto" w:fill="auto"/>
          <w:lang w:val="en-US" w:eastAsia="en-US" w:bidi="en-US"/>
        </w:rPr>
        <w:t xml:space="preserve">1818), giving </w:t>
      </w:r>
      <w:r>
        <w:rPr>
          <w:i/>
          <w:iCs/>
          <w:color w:val="000000"/>
          <w:spacing w:val="0"/>
          <w:w w:val="100"/>
          <w:position w:val="0"/>
          <w:shd w:val="clear" w:color="auto" w:fill="auto"/>
          <w:lang w:val="de-DE" w:eastAsia="de-DE" w:bidi="de-DE"/>
        </w:rPr>
        <w:t>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to 7 places 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0 to 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001, </w:t>
      </w:r>
      <w:r>
        <w:rPr>
          <w:color w:val="000000"/>
          <w:spacing w:val="0"/>
          <w:w w:val="100"/>
          <w:position w:val="0"/>
          <w:shd w:val="clear" w:color="auto" w:fill="auto"/>
          <w:lang w:val="en-US" w:eastAsia="en-US" w:bidi="en-US"/>
        </w:rPr>
        <w:t xml:space="preserve">thence to 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to 4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and to 5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 ; the table is not conveniently arranged. Peter Gray, </w:t>
      </w:r>
      <w:r>
        <w:rPr>
          <w:i/>
          <w:iCs/>
          <w:color w:val="000000"/>
          <w:spacing w:val="0"/>
          <w:w w:val="100"/>
          <w:position w:val="0"/>
          <w:shd w:val="clear" w:color="auto" w:fill="auto"/>
          <w:lang w:val="en-US" w:eastAsia="en-US" w:bidi="en-US"/>
        </w:rPr>
        <w:t xml:space="preserve">Tables and </w:t>
      </w:r>
      <w:r>
        <w:rPr>
          <w:i/>
          <w:iCs/>
          <w:color w:val="000000"/>
          <w:spacing w:val="0"/>
          <w:w w:val="100"/>
          <w:position w:val="0"/>
          <w:shd w:val="clear" w:color="auto" w:fill="auto"/>
          <w:lang w:val="fr-FR" w:eastAsia="fr-FR" w:bidi="fr-FR"/>
        </w:rPr>
        <w:t>Formulæ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(London, 1849, and “Addendum,” 1870), giving </w:t>
      </w:r>
      <w:r>
        <w:rPr>
          <w:i/>
          <w:iCs/>
          <w:color w:val="000000"/>
          <w:spacing w:val="0"/>
          <w:w w:val="100"/>
          <w:position w:val="0"/>
          <w:shd w:val="clear" w:color="auto" w:fill="auto"/>
          <w:lang w:val="en-US" w:eastAsia="en-US" w:bidi="en-US"/>
        </w:rPr>
        <w:t>C for</w:t>
      </w:r>
      <w:r>
        <w:rPr>
          <w:color w:val="000000"/>
          <w:spacing w:val="0"/>
          <w:w w:val="100"/>
          <w:position w:val="0"/>
          <w:shd w:val="clear" w:color="auto" w:fill="auto"/>
          <w:lang w:val="en-US" w:eastAsia="en-US" w:bidi="en-US"/>
        </w:rPr>
        <w:t xml:space="preserve">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0 to 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001 </w:t>
      </w:r>
      <w:r>
        <w:rPr>
          <w:color w:val="000000"/>
          <w:spacing w:val="0"/>
          <w:w w:val="100"/>
          <w:position w:val="0"/>
          <w:shd w:val="clear" w:color="auto" w:fill="auto"/>
          <w:lang w:val="en-US" w:eastAsia="en-US" w:bidi="en-US"/>
        </w:rPr>
        <w:t xml:space="preserve">to 6 places, with proportional parts to hundredths, and log (1 -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3 to I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01 </w:t>
      </w:r>
      <w:r>
        <w:rPr>
          <w:color w:val="000000"/>
          <w:spacing w:val="0"/>
          <w:w w:val="100"/>
          <w:position w:val="0"/>
          <w:shd w:val="clear" w:color="auto" w:fill="auto"/>
          <w:lang w:val="en-US" w:eastAsia="en-US" w:bidi="en-US"/>
        </w:rPr>
        <w:t>and from 1 to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9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001, </w:t>
      </w:r>
      <w:r>
        <w:rPr>
          <w:color w:val="000000"/>
          <w:spacing w:val="0"/>
          <w:w w:val="100"/>
          <w:position w:val="0"/>
          <w:shd w:val="clear" w:color="auto" w:fill="auto"/>
          <w:lang w:val="en-US" w:eastAsia="en-US" w:bidi="en-US"/>
        </w:rPr>
        <w:t xml:space="preserve">to 6 places, with proportional parts. Zech, </w:t>
      </w:r>
      <w:r>
        <w:rPr>
          <w:i/>
          <w:iCs/>
          <w:color w:val="000000"/>
          <w:spacing w:val="0"/>
          <w:w w:val="100"/>
          <w:position w:val="0"/>
          <w:shd w:val="clear" w:color="auto" w:fill="auto"/>
          <w:lang w:val="de-DE" w:eastAsia="de-DE" w:bidi="de-DE"/>
        </w:rPr>
        <w:t xml:space="preserve">Tafeln der </w:t>
      </w:r>
      <w:r>
        <w:rPr>
          <w:i/>
          <w:iCs/>
          <w:color w:val="000000"/>
          <w:spacing w:val="0"/>
          <w:w w:val="100"/>
          <w:position w:val="0"/>
          <w:shd w:val="clear" w:color="auto" w:fill="auto"/>
          <w:lang w:val="en-US" w:eastAsia="en-US" w:bidi="en-US"/>
        </w:rPr>
        <w:t xml:space="preserve">Additions- und Subtractions - </w:t>
      </w:r>
      <w:r>
        <w:rPr>
          <w:i/>
          <w:iCs/>
          <w:color w:val="000000"/>
          <w:spacing w:val="0"/>
          <w:w w:val="100"/>
          <w:position w:val="0"/>
          <w:shd w:val="clear" w:color="auto" w:fill="auto"/>
          <w:lang w:val="de-DE" w:eastAsia="de-DE" w:bidi="de-DE"/>
        </w:rPr>
        <w:t>Logarithmen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1849), giving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0 to 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001, </w:t>
      </w:r>
      <w:r>
        <w:rPr>
          <w:color w:val="000000"/>
          <w:spacing w:val="0"/>
          <w:w w:val="100"/>
          <w:position w:val="0"/>
          <w:shd w:val="clear" w:color="auto" w:fill="auto"/>
          <w:lang w:val="en-US" w:eastAsia="en-US" w:bidi="en-US"/>
        </w:rPr>
        <w:t xml:space="preserve">thence to 4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and to 6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 also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0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0003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0000001, thence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5 </w:t>
      </w:r>
      <w:r>
        <w:rPr>
          <w:color w:val="000000"/>
          <w:spacing w:val="0"/>
          <w:w w:val="100"/>
          <w:position w:val="0"/>
          <w:shd w:val="clear" w:color="auto" w:fill="auto"/>
          <w:lang w:val="en-US" w:eastAsia="en-US" w:bidi="en-US"/>
        </w:rPr>
        <w:t xml:space="preserve">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00001 </w:t>
      </w:r>
      <w:r>
        <w:rPr>
          <w:color w:val="000000"/>
          <w:spacing w:val="0"/>
          <w:w w:val="100"/>
          <w:position w:val="0"/>
          <w:shd w:val="clear" w:color="auto" w:fill="auto"/>
          <w:lang w:val="en-US" w:eastAsia="en-US" w:bidi="en-US"/>
        </w:rPr>
        <w:t xml:space="preserve">and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303 at intervals of •00001, all to 7 places, with proportional parts. These tables are reprinted from </w:t>
      </w:r>
      <w:r>
        <w:rPr>
          <w:color w:val="000000"/>
          <w:spacing w:val="0"/>
          <w:w w:val="100"/>
          <w:position w:val="0"/>
          <w:shd w:val="clear" w:color="auto" w:fill="auto"/>
          <w:lang w:val="de-DE" w:eastAsia="de-DE" w:bidi="de-DE"/>
        </w:rPr>
        <w:t xml:space="preserve">Hülsse’s </w:t>
      </w:r>
      <w:r>
        <w:rPr>
          <w:color w:val="000000"/>
          <w:spacing w:val="0"/>
          <w:w w:val="100"/>
          <w:position w:val="0"/>
          <w:shd w:val="clear" w:color="auto" w:fill="auto"/>
          <w:lang w:val="en-US" w:eastAsia="en-US" w:bidi="en-US"/>
        </w:rPr>
        <w:t xml:space="preserve">edition of Vega (1849) ; the 1840 edition of </w:t>
      </w:r>
      <w:r>
        <w:rPr>
          <w:color w:val="000000"/>
          <w:spacing w:val="0"/>
          <w:w w:val="100"/>
          <w:position w:val="0"/>
          <w:shd w:val="clear" w:color="auto" w:fill="auto"/>
          <w:lang w:val="de-DE" w:eastAsia="de-DE" w:bidi="de-DE"/>
        </w:rPr>
        <w:t xml:space="preserve">Hülsse’s </w:t>
      </w:r>
      <w:r>
        <w:rPr>
          <w:color w:val="000000"/>
          <w:spacing w:val="0"/>
          <w:w w:val="100"/>
          <w:position w:val="0"/>
          <w:shd w:val="clear" w:color="auto" w:fill="auto"/>
          <w:lang w:val="en-US" w:eastAsia="en-US" w:bidi="en-US"/>
        </w:rPr>
        <w:t xml:space="preserve">Vega contained a reprint of Gauss’s original table. Wittstein, </w:t>
      </w:r>
      <w:r>
        <w:rPr>
          <w:i/>
          <w:iCs/>
          <w:color w:val="000000"/>
          <w:spacing w:val="0"/>
          <w:w w:val="100"/>
          <w:position w:val="0"/>
          <w:shd w:val="clear" w:color="auto" w:fill="auto"/>
          <w:lang w:val="fr-FR" w:eastAsia="fr-FR" w:bidi="fr-FR"/>
        </w:rPr>
        <w:t xml:space="preserve">Logarithmes </w:t>
      </w:r>
      <w:r>
        <w:rPr>
          <w:i/>
          <w:iCs/>
          <w:color w:val="000000"/>
          <w:spacing w:val="0"/>
          <w:w w:val="100"/>
          <w:position w:val="0"/>
          <w:shd w:val="clear" w:color="auto" w:fill="auto"/>
          <w:lang w:val="en-US" w:eastAsia="en-US" w:bidi="en-US"/>
        </w:rPr>
        <w:t xml:space="preserve">de Gauss </w:t>
      </w:r>
      <w:r>
        <w:rPr>
          <w:i/>
          <w:iCs/>
          <w:color w:val="000000"/>
          <w:spacing w:val="0"/>
          <w:w w:val="100"/>
          <w:position w:val="0"/>
          <w:shd w:val="clear" w:color="auto" w:fill="auto"/>
          <w:lang w:val="fr-FR" w:eastAsia="fr-FR" w:bidi="fr-FR"/>
        </w:rPr>
        <w:t xml:space="preserve">à </w:t>
      </w:r>
      <w:r>
        <w:rPr>
          <w:i/>
          <w:iCs/>
          <w:color w:val="000000"/>
          <w:spacing w:val="0"/>
          <w:w w:val="100"/>
          <w:position w:val="0"/>
          <w:shd w:val="clear" w:color="auto" w:fill="auto"/>
          <w:lang w:val="en-US" w:eastAsia="en-US" w:bidi="en-US"/>
        </w:rPr>
        <w:t xml:space="preserve">Sept </w:t>
      </w:r>
      <w:r>
        <w:rPr>
          <w:i/>
          <w:iCs/>
          <w:color w:val="000000"/>
          <w:spacing w:val="0"/>
          <w:w w:val="100"/>
          <w:position w:val="0"/>
          <w:shd w:val="clear" w:color="auto" w:fill="auto"/>
          <w:lang w:val="fr-FR" w:eastAsia="fr-FR" w:bidi="fr-FR"/>
        </w:rPr>
        <w:t>Décimales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(Hanover, 1866), giving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3 to 4 at intervals of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 xml:space="preserve">from 4 to 6 at intervals of </w:t>
      </w:r>
      <w:r>
        <w:rPr>
          <w:color w:val="000000"/>
          <w:spacing w:val="0"/>
          <w:w w:val="100"/>
          <w:position w:val="0"/>
          <w:shd w:val="clear" w:color="auto" w:fill="auto"/>
          <w:lang w:val="el-GR" w:eastAsia="el-GR" w:bidi="el-GR"/>
        </w:rPr>
        <w:t xml:space="preserve">Ό1, </w:t>
      </w:r>
      <w:r>
        <w:rPr>
          <w:color w:val="000000"/>
          <w:spacing w:val="0"/>
          <w:w w:val="100"/>
          <w:position w:val="0"/>
          <w:shd w:val="clear" w:color="auto" w:fill="auto"/>
          <w:lang w:val="en-US" w:eastAsia="en-US" w:bidi="en-US"/>
        </w:rPr>
        <w:t xml:space="preserve">from 6 to 8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from 8 to 10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0001, also from 0 to 4 at the same intervals. In this handsome work the arrangement is similar to that in a seven-figure logarithmic table. Gauss’s original five-place table was reprinted in Pasquich, </w:t>
      </w:r>
      <w:r>
        <w:rPr>
          <w:i/>
          <w:iCs/>
          <w:color w:val="000000"/>
          <w:spacing w:val="0"/>
          <w:w w:val="100"/>
          <w:position w:val="0"/>
          <w:shd w:val="clear" w:color="auto" w:fill="auto"/>
          <w:lang w:val="fr-FR" w:eastAsia="fr-FR" w:bidi="fr-FR"/>
        </w:rPr>
        <w:t>Tabulæ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(Leipsic, 1817) ; </w:t>
      </w:r>
      <w:r>
        <w:rPr>
          <w:color w:val="000000"/>
          <w:spacing w:val="0"/>
          <w:w w:val="100"/>
          <w:position w:val="0"/>
          <w:shd w:val="clear" w:color="auto" w:fill="auto"/>
          <w:lang w:val="de-DE" w:eastAsia="de-DE" w:bidi="de-DE"/>
        </w:rPr>
        <w:t xml:space="preserve">Köhler, </w:t>
      </w:r>
      <w:r>
        <w:rPr>
          <w:i/>
          <w:iCs/>
          <w:color w:val="000000"/>
          <w:spacing w:val="0"/>
          <w:w w:val="100"/>
          <w:position w:val="0"/>
          <w:shd w:val="clear" w:color="auto" w:fill="auto"/>
          <w:lang w:val="en-US" w:eastAsia="en-US" w:bidi="en-US"/>
        </w:rPr>
        <w:t xml:space="preserve">Jerome de la Lande's </w:t>
      </w:r>
      <w:r>
        <w:rPr>
          <w:i/>
          <w:iCs/>
          <w:color w:val="000000"/>
          <w:spacing w:val="0"/>
          <w:w w:val="100"/>
          <w:position w:val="0"/>
          <w:shd w:val="clear" w:color="auto" w:fill="auto"/>
          <w:lang w:val="de-DE" w:eastAsia="de-DE" w:bidi="de-DE"/>
        </w:rPr>
        <w:t>Tafeln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1832), and </w:t>
      </w:r>
      <w:r>
        <w:rPr>
          <w:i/>
          <w:iCs/>
          <w:color w:val="000000"/>
          <w:spacing w:val="0"/>
          <w:w w:val="100"/>
          <w:position w:val="0"/>
          <w:shd w:val="clear" w:color="auto" w:fill="auto"/>
          <w:lang w:val="de-DE" w:eastAsia="de-DE" w:bidi="de-DE"/>
        </w:rPr>
        <w:t>Handbuch</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1848) ; and Galbraith and Haughton, </w:t>
      </w:r>
      <w:r>
        <w:rPr>
          <w:i/>
          <w:iCs/>
          <w:color w:val="000000"/>
          <w:spacing w:val="0"/>
          <w:w w:val="100"/>
          <w:position w:val="0"/>
          <w:shd w:val="clear" w:color="auto" w:fill="auto"/>
          <w:lang w:val="en-US" w:eastAsia="en-US" w:bidi="en-US"/>
        </w:rPr>
        <w:t>Manual</w:t>
      </w:r>
      <w:r>
        <w:rPr>
          <w:color w:val="000000"/>
          <w:spacing w:val="0"/>
          <w:w w:val="100"/>
          <w:position w:val="0"/>
          <w:shd w:val="clear" w:color="auto" w:fill="auto"/>
          <w:lang w:val="en-US" w:eastAsia="en-US" w:bidi="en-US"/>
        </w:rPr>
        <w:t xml:space="preserve"> (London, 1860). </w:t>
      </w:r>
      <w:r>
        <w:rPr>
          <w:color w:val="000000"/>
          <w:spacing w:val="0"/>
          <w:w w:val="100"/>
          <w:position w:val="0"/>
          <w:shd w:val="clear" w:color="auto" w:fill="auto"/>
          <w:lang w:val="fr-FR" w:eastAsia="fr-FR" w:bidi="fr-FR"/>
        </w:rPr>
        <w:t xml:space="preserve">Houël,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de Logarithmes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(1871), also gives a small five-place table of Gaussian logarithms, the addition and subtraction logarithms being separated as in Zech. Modified Gaussian logarithms are given by J. H. T. Muller, </w:t>
      </w:r>
      <w:r>
        <w:rPr>
          <w:i/>
          <w:iCs/>
          <w:color w:val="000000"/>
          <w:spacing w:val="0"/>
          <w:w w:val="100"/>
          <w:position w:val="0"/>
          <w:shd w:val="clear" w:color="auto" w:fill="auto"/>
          <w:lang w:val="de-DE" w:eastAsia="de-DE" w:bidi="de-DE"/>
        </w:rPr>
        <w:t>Vierstellige Logarithmen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(Gotha, 1844), viz., a four-place table of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 log [1-(1/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A = 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0001, thence to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23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to 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and to 4 at intervals of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 xml:space="preserve">; and by Shortrede, </w:t>
      </w:r>
      <w:r>
        <w:rPr>
          <w:i/>
          <w:iCs/>
          <w:color w:val="000000"/>
          <w:spacing w:val="0"/>
          <w:w w:val="100"/>
          <w:position w:val="0"/>
          <w:shd w:val="clear" w:color="auto" w:fill="auto"/>
          <w:lang w:val="en-US" w:eastAsia="en-US" w:bidi="en-US"/>
        </w:rPr>
        <w:t>Logarithmic Tables</w:t>
      </w:r>
      <w:r>
        <w:rPr>
          <w:color w:val="000000"/>
          <w:spacing w:val="0"/>
          <w:w w:val="100"/>
          <w:position w:val="0"/>
          <w:shd w:val="clear" w:color="auto" w:fill="auto"/>
          <w:lang w:val="en-US" w:eastAsia="en-US" w:bidi="en-US"/>
        </w:rPr>
        <w:t xml:space="preserve"> (vol. i., 1849), viz., a five-place table of </w:t>
      </w:r>
      <w:r>
        <w:rPr>
          <w:i/>
          <w:iCs/>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and log (1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A = 5</w:t>
      </w:r>
      <w:r>
        <w:rPr>
          <w:color w:val="000000"/>
          <w:spacing w:val="0"/>
          <w:w w:val="100"/>
          <w:position w:val="0"/>
          <w:shd w:val="clear" w:color="auto" w:fill="auto"/>
          <w:lang w:val="en-US" w:eastAsia="en-US" w:bidi="en-US"/>
        </w:rPr>
        <w:t xml:space="preserve"> to 3 at intervals of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A= 3</w:t>
      </w:r>
      <w:r>
        <w:rPr>
          <w:color w:val="000000"/>
          <w:spacing w:val="0"/>
          <w:w w:val="100"/>
          <w:position w:val="0"/>
          <w:shd w:val="clear" w:color="auto" w:fill="auto"/>
          <w:lang w:val="en-US" w:eastAsia="en-US" w:bidi="en-US"/>
        </w:rPr>
        <w:t xml:space="preserve"> to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7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1, </w:t>
      </w:r>
      <w:r>
        <w:rPr>
          <w:color w:val="000000"/>
          <w:spacing w:val="0"/>
          <w:w w:val="100"/>
          <w:position w:val="0"/>
          <w:shd w:val="clear" w:color="auto" w:fill="auto"/>
          <w:lang w:val="en-US" w:eastAsia="en-US" w:bidi="en-US"/>
        </w:rPr>
        <w:t>to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to 3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and to 5 at intervals of </w:t>
      </w:r>
      <w:r>
        <w:rPr>
          <w:color w:val="000000"/>
          <w:spacing w:val="0"/>
          <w:w w:val="100"/>
          <w:position w:val="0"/>
          <w:shd w:val="clear" w:color="auto" w:fill="auto"/>
          <w:lang w:val="en-US" w:eastAsia="en-US" w:bidi="en-US"/>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Filipowski’s </w:t>
      </w:r>
      <w:r>
        <w:rPr>
          <w:i/>
          <w:iCs/>
          <w:color w:val="000000"/>
          <w:spacing w:val="0"/>
          <w:w w:val="100"/>
          <w:position w:val="0"/>
          <w:shd w:val="clear" w:color="auto" w:fill="auto"/>
          <w:lang w:val="en-US" w:eastAsia="en-US" w:bidi="en-US"/>
        </w:rPr>
        <w:t xml:space="preserve">Antilogarithms </w:t>
      </w:r>
      <w:r>
        <w:rPr>
          <w:color w:val="000000"/>
          <w:spacing w:val="0"/>
          <w:w w:val="100"/>
          <w:position w:val="0"/>
          <w:shd w:val="clear" w:color="auto" w:fill="auto"/>
          <w:lang w:val="en-US" w:eastAsia="en-US" w:bidi="en-US"/>
        </w:rPr>
        <w:t>(1849) contains Gaussian logarithms arranged in a new way. The principal table gives log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+l) as tabular result for log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as argument from 8 to 14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to 5 places. Weiden- bach, </w:t>
      </w:r>
      <w:r>
        <w:rPr>
          <w:i/>
          <w:iCs/>
          <w:color w:val="000000"/>
          <w:spacing w:val="0"/>
          <w:w w:val="100"/>
          <w:position w:val="0"/>
          <w:shd w:val="clear" w:color="auto" w:fill="auto"/>
          <w:lang w:val="de-DE" w:eastAsia="de-DE" w:bidi="de-DE"/>
        </w:rPr>
        <w:t xml:space="preserve">Tafel </w:t>
      </w:r>
      <w:r>
        <w:rPr>
          <w:i/>
          <w:iCs/>
          <w:color w:val="000000"/>
          <w:spacing w:val="0"/>
          <w:w w:val="100"/>
          <w:position w:val="0"/>
          <w:shd w:val="clear" w:color="auto" w:fill="auto"/>
          <w:lang w:val="en-US" w:eastAsia="en-US" w:bidi="en-US"/>
        </w:rPr>
        <w:t xml:space="preserve">um </w:t>
      </w:r>
      <w:r>
        <w:rPr>
          <w:i/>
          <w:iCs/>
          <w:color w:val="000000"/>
          <w:spacing w:val="0"/>
          <w:w w:val="100"/>
          <w:position w:val="0"/>
          <w:shd w:val="clear" w:color="auto" w:fill="auto"/>
          <w:lang w:val="de-DE" w:eastAsia="de-DE" w:bidi="de-DE"/>
        </w:rPr>
        <w:t>den Logarithmen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(Copenhagen, 1829), gives log[(</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-1)] for argument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from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382 to 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002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001, to</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 and to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5 at intervals of </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to 5 places.</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Logistic and Proportional Logarithms.—</w:t>
      </w:r>
      <w:r>
        <w:rPr>
          <w:color w:val="000000"/>
          <w:spacing w:val="0"/>
          <w:w w:val="100"/>
          <w:position w:val="0"/>
          <w:shd w:val="clear" w:color="auto" w:fill="auto"/>
          <w:lang w:val="en-US" w:eastAsia="en-US" w:bidi="en-US"/>
        </w:rPr>
        <w:t>In most collections of tables of logarithms a five-place table of logistic logarithms for every second to 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is given. Logistic tables give log 3600 - log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 xml:space="preserve">at intervals of a second,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being expressed in degrees, minutes, and seconds; Schulze (1778) and Vega (1797) have them to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=3600" and </w:t>
      </w:r>
      <w:r>
        <w:rPr>
          <w:color w:val="000000"/>
          <w:spacing w:val="0"/>
          <w:w w:val="100"/>
          <w:position w:val="0"/>
          <w:shd w:val="clear" w:color="auto" w:fill="auto"/>
          <w:lang w:val="la-001" w:eastAsia="la-001" w:bidi="la-001"/>
        </w:rPr>
        <w:t xml:space="preserve">Callet </w:t>
      </w:r>
      <w:r>
        <w:rPr>
          <w:color w:val="000000"/>
          <w:spacing w:val="0"/>
          <w:w w:val="100"/>
          <w:position w:val="0"/>
          <w:shd w:val="clear" w:color="auto" w:fill="auto"/>
          <w:lang w:val="en-US" w:eastAsia="en-US" w:bidi="en-US"/>
        </w:rPr>
        <w:t xml:space="preserve">and Hutton to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5280". Proportional logarithms for every second to 3°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log 10,800-log</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form part of nearly all collections of tables relating to navigation, generally to 4 places, sometimes to 5. Bagay, </w:t>
      </w:r>
      <w:r>
        <w:rPr>
          <w:i/>
          <w:iC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(1829), gives a five-place table, but such are not often to be found in collections of mathematical tables. The same remark applies to tables of proportional loga</w:t>
        <w:softHyphen/>
        <w:t xml:space="preserve">rithms for every minute to 24“, which give to 4 or 5 places the values of log 1440 - log </w:t>
      </w:r>
      <w:r>
        <w:rPr>
          <w:i/>
          <w:iCs/>
          <w:color w:val="000000"/>
          <w:spacing w:val="0"/>
          <w:w w:val="100"/>
          <w:position w:val="0"/>
          <w:shd w:val="clear" w:color="auto" w:fill="auto"/>
          <w:lang w:val="la-001" w:eastAsia="la-001" w:bidi="la-001"/>
        </w:rPr>
        <w:t>x.</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object of a proportional or logistic table, or a table of log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log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to facilitate the calculation of propor</w:t>
        <w:softHyphen/>
        <w:t xml:space="preserve">tions in which the third term is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Interpolation Tables.—</w:t>
      </w:r>
      <w:r>
        <w:rPr>
          <w:color w:val="000000"/>
          <w:spacing w:val="0"/>
          <w:w w:val="100"/>
          <w:position w:val="0"/>
          <w:shd w:val="clear" w:color="auto" w:fill="auto"/>
          <w:lang w:val="en-US" w:eastAsia="en-US" w:bidi="en-US"/>
        </w:rPr>
        <w:t xml:space="preserve">All tables of proportional parts may be regarded as interpolation tables. Bremiker, </w:t>
      </w:r>
      <w:r>
        <w:rPr>
          <w:i/>
          <w:iCs/>
          <w:color w:val="000000"/>
          <w:spacing w:val="0"/>
          <w:w w:val="100"/>
          <w:position w:val="0"/>
          <w:shd w:val="clear" w:color="auto" w:fill="auto"/>
          <w:lang w:val="de-DE" w:eastAsia="de-DE" w:bidi="de-DE"/>
        </w:rPr>
        <w:t>Tafel der Proportional</w:t>
        <w:softHyphen/>
        <w:t>theile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(Berlin, 1843), gives proportional parts to hundredths of all numbers from 70 to 699. </w:t>
      </w:r>
      <w:r>
        <w:rPr>
          <w:color w:val="000000"/>
          <w:spacing w:val="0"/>
          <w:w w:val="100"/>
          <w:position w:val="0"/>
          <w:shd w:val="clear" w:color="auto" w:fill="auto"/>
          <w:lang w:val="de-DE" w:eastAsia="de-DE" w:bidi="de-DE"/>
        </w:rPr>
        <w:t xml:space="preserve">Schrön, </w:t>
      </w:r>
      <w:r>
        <w:rPr>
          <w:i/>
          <w:iCs/>
          <w:color w:val="000000"/>
          <w:spacing w:val="0"/>
          <w:w w:val="100"/>
          <w:position w:val="0"/>
          <w:shd w:val="clear" w:color="auto" w:fill="auto"/>
          <w:lang w:val="en-US" w:eastAsia="en-US" w:bidi="en-US"/>
        </w:rPr>
        <w:t>Logarithms,</w:t>
      </w:r>
      <w:r>
        <w:rPr>
          <w:color w:val="000000"/>
          <w:spacing w:val="0"/>
          <w:w w:val="100"/>
          <w:position w:val="0"/>
          <w:shd w:val="clear" w:color="auto" w:fill="auto"/>
          <w:lang w:val="en-US" w:eastAsia="en-US" w:bidi="en-US"/>
        </w:rPr>
        <w:t xml:space="preserve"> contains an inter</w:t>
        <w:softHyphen/>
        <w:t>polation table giving the first hundred multiples of all numbers from 40 to 410. Tables of the values of binomial theorem coef</w:t>
        <w:softHyphen/>
        <w:t>ficients, which are required when second and higher orders of differ</w:t>
        <w:softHyphen/>
        <w:t xml:space="preserve">ences are used, are described below. Woolhouse, </w:t>
      </w:r>
      <w:r>
        <w:rPr>
          <w:i/>
          <w:iCs/>
          <w:color w:val="000000"/>
          <w:spacing w:val="0"/>
          <w:w w:val="100"/>
          <w:position w:val="0"/>
          <w:shd w:val="clear" w:color="auto" w:fill="auto"/>
          <w:lang w:val="en-US" w:eastAsia="en-US" w:bidi="en-US"/>
        </w:rPr>
        <w:t>On Interpolation, Summation, and the Adjustment of Numerical Tables</w:t>
      </w:r>
      <w:r>
        <w:rPr>
          <w:color w:val="000000"/>
          <w:spacing w:val="0"/>
          <w:w w:val="100"/>
          <w:position w:val="0"/>
          <w:shd w:val="clear" w:color="auto" w:fill="auto"/>
          <w:lang w:val="en-US" w:eastAsia="en-US" w:bidi="en-US"/>
        </w:rPr>
        <w:t xml:space="preserve"> (London, 1865), contains nine pages of interpolation tables. The book con</w:t>
        <w:softHyphen/>
        <w:t xml:space="preserve">sists of papers extracted from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 xml:space="preserve">xi. and xii. of the </w:t>
      </w:r>
      <w:r>
        <w:rPr>
          <w:i/>
          <w:iCs/>
          <w:color w:val="000000"/>
          <w:spacing w:val="0"/>
          <w:w w:val="100"/>
          <w:position w:val="0"/>
          <w:shd w:val="clear" w:color="auto" w:fill="auto"/>
          <w:lang w:val="en-US" w:eastAsia="en-US" w:bidi="en-US"/>
        </w:rPr>
        <w:t>Assurance Magazine.</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Dual Logarithms.—</w:t>
      </w:r>
      <w:r>
        <w:rPr>
          <w:color w:val="000000"/>
          <w:spacing w:val="0"/>
          <w:w w:val="100"/>
          <w:position w:val="0"/>
          <w:shd w:val="clear" w:color="auto" w:fill="auto"/>
          <w:lang w:val="en-US" w:eastAsia="en-US" w:bidi="en-US"/>
        </w:rPr>
        <w:t xml:space="preserve">This term is used by Mr Oliver Byrne in his </w:t>
      </w:r>
      <w:r>
        <w:rPr>
          <w:i/>
          <w:iCs/>
          <w:color w:val="000000"/>
          <w:spacing w:val="0"/>
          <w:w w:val="100"/>
          <w:position w:val="0"/>
          <w:shd w:val="clear" w:color="auto" w:fill="auto"/>
          <w:lang w:val="en-US" w:eastAsia="en-US" w:bidi="en-US"/>
        </w:rPr>
        <w:t>Dual Arithmetic, Young Dual Arithmetician, Tables of Dual Logarithms,</w:t>
      </w:r>
      <w:r>
        <w:rPr>
          <w:color w:val="000000"/>
          <w:spacing w:val="0"/>
          <w:w w:val="100"/>
          <w:position w:val="0"/>
          <w:shd w:val="clear" w:color="auto" w:fill="auto"/>
          <w:lang w:val="en-US" w:eastAsia="en-US" w:bidi="en-US"/>
        </w:rPr>
        <w:t xml:space="preserve"> &amp;c. (London, 1863-67). A dual number of the ascend</w:t>
        <w:softHyphen/>
        <w:t>ing branch is a continued product of powers of 1</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 l</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001, &amp;c., </w:t>
      </w:r>
      <w:r>
        <w:rPr>
          <w:color w:val="000000"/>
          <w:spacing w:val="0"/>
          <w:w w:val="100"/>
          <w:position w:val="0"/>
          <w:shd w:val="clear" w:color="auto" w:fill="auto"/>
          <w:lang w:val="en-US" w:eastAsia="en-US" w:bidi="en-US"/>
        </w:rPr>
        <w:t xml:space="preserve">taken in order, the powers only being expressed; thus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6,9,7,8 denotes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vertAlign w:val="superscript"/>
          <w:lang w:val="en-US" w:eastAsia="en-US" w:bidi="en-US"/>
        </w:rPr>
        <w:t xml:space="preserve">∙1)6 </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01)</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001)</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0001)</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numbers following the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being called dual digits. A dual number which has all but the last digit zeros is called a dual logarithm ; the author uses dual logarithms in which there are seven ciphers between the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logarithms. A dual number of the descending branch is a con</w:t>
        <w:softHyphen/>
        <w:t xml:space="preserve">tinued product of powers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 &amp;c. : for instance, (∙9)</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99)</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is denoted by ’3 ’2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Tables,</w:t>
      </w:r>
      <w:r>
        <w:rPr>
          <w:color w:val="000000"/>
          <w:spacing w:val="0"/>
          <w:w w:val="100"/>
          <w:position w:val="0"/>
          <w:shd w:val="clear" w:color="auto" w:fill="auto"/>
          <w:lang w:val="en-US" w:eastAsia="en-US" w:bidi="en-US"/>
        </w:rPr>
        <w:t xml:space="preserve"> which occupy 112 pages, give dual numbers and logarithms, both of the ascending and descend</w:t>
        <w:softHyphen/>
        <w:t>ing branches, and the corresponding natural numbers. The author claimed that his tables were superior to those of common logarithms.</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Constants.—</w:t>
      </w:r>
      <w:r>
        <w:rPr>
          <w:color w:val="000000"/>
          <w:spacing w:val="0"/>
          <w:w w:val="100"/>
          <w:position w:val="0"/>
          <w:shd w:val="clear" w:color="auto" w:fill="auto"/>
          <w:lang w:val="en-US" w:eastAsia="en-US" w:bidi="en-US"/>
        </w:rPr>
        <w:t>In nearly all tables of logarithms there is a page de</w:t>
        <w:softHyphen/>
        <w:t xml:space="preserve">voted to certain frequently used constants and their logarithms, such as </w:t>
      </w:r>
      <w:r>
        <w:rPr>
          <w:color w:val="000000"/>
          <w:spacing w:val="0"/>
          <w:w w:val="100"/>
          <w:position w:val="0"/>
          <w:shd w:val="clear" w:color="auto" w:fill="auto"/>
          <w:lang w:val="el-GR" w:eastAsia="el-GR" w:bidi="el-GR"/>
        </w:rPr>
        <w:t>π</w:t>
      </w:r>
      <w:r>
        <w:rPr>
          <w:color w:val="000000"/>
          <w:spacing w:val="0"/>
          <w:w w:val="100"/>
          <w:position w:val="0"/>
          <w:shd w:val="clear" w:color="auto" w:fill="auto"/>
          <w:lang w:val="en-US" w:eastAsia="en-US" w:bidi="en-US"/>
        </w:rPr>
        <w:t>, 1/</w:t>
      </w:r>
      <w:r>
        <w:rPr>
          <w:color w:val="000000"/>
          <w:spacing w:val="0"/>
          <w:w w:val="100"/>
          <w:position w:val="0"/>
          <w:shd w:val="clear" w:color="auto" w:fill="auto"/>
          <w:lang w:val="el-GR" w:eastAsia="el-GR" w:bidi="el-GR"/>
        </w:rPr>
        <w:t>π,</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π</w:t>
      </w:r>
      <w:r>
        <w:rPr>
          <w:color w:val="000000"/>
          <w:spacing w:val="0"/>
          <w:w w:val="100"/>
          <w:position w:val="0"/>
          <w:shd w:val="clear" w:color="auto" w:fill="auto"/>
          <w:vertAlign w:val="superscript"/>
          <w:lang w:val="el-GR" w:eastAsia="el-GR" w:bidi="el-GR"/>
        </w:rPr>
        <w:t>2</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A specially good collection is printed in Templeton’s </w:t>
      </w:r>
      <w:r>
        <w:rPr>
          <w:i/>
          <w:iCs/>
          <w:color w:val="000000"/>
          <w:spacing w:val="0"/>
          <w:w w:val="100"/>
          <w:position w:val="0"/>
          <w:shd w:val="clear" w:color="auto" w:fill="auto"/>
          <w:lang w:val="en-US" w:eastAsia="en-US" w:bidi="en-US"/>
        </w:rPr>
        <w:t>Millwright's and Engineer's Pocket Companion</w:t>
      </w:r>
      <w:r>
        <w:rPr>
          <w:color w:val="000000"/>
          <w:spacing w:val="0"/>
          <w:w w:val="100"/>
          <w:position w:val="0"/>
          <w:shd w:val="clear" w:color="auto" w:fill="auto"/>
          <w:lang w:val="en-US" w:eastAsia="en-US" w:bidi="en-US"/>
        </w:rPr>
        <w:t xml:space="preserve"> (cor</w:t>
        <w:softHyphen/>
        <w:t xml:space="preserve">rected by S. Maynard, London, 1871), which gives 58 constants involving </w:t>
      </w:r>
      <w:r>
        <w:rPr>
          <w:color w:val="000000"/>
          <w:spacing w:val="0"/>
          <w:w w:val="100"/>
          <w:position w:val="0"/>
          <w:shd w:val="clear" w:color="auto" w:fill="auto"/>
          <w:lang w:val="el-GR" w:eastAsia="el-GR" w:bidi="el-GR"/>
        </w:rPr>
        <w:t>π</w:t>
      </w:r>
      <w:r>
        <w:rPr>
          <w:color w:val="000000"/>
          <w:spacing w:val="0"/>
          <w:w w:val="100"/>
          <w:position w:val="0"/>
          <w:shd w:val="clear" w:color="auto" w:fill="auto"/>
          <w:lang w:val="en-US" w:eastAsia="en-US" w:bidi="en-US"/>
        </w:rPr>
        <w:t xml:space="preserve"> and their logarithms, generally to 30 places, and 13 others that may be properly called mathematical. A good list of constants involving </w:t>
      </w:r>
      <w:r>
        <w:rPr>
          <w:color w:val="000000"/>
          <w:spacing w:val="0"/>
          <w:w w:val="100"/>
          <w:position w:val="0"/>
          <w:shd w:val="clear" w:color="auto" w:fill="auto"/>
          <w:lang w:val="el-GR" w:eastAsia="el-GR" w:bidi="el-GR"/>
        </w:rPr>
        <w:t>π</w:t>
      </w:r>
      <w:r>
        <w:rPr>
          <w:color w:val="000000"/>
          <w:spacing w:val="0"/>
          <w:w w:val="100"/>
          <w:position w:val="0"/>
          <w:shd w:val="clear" w:color="auto" w:fill="auto"/>
          <w:lang w:val="en-US" w:eastAsia="en-US" w:bidi="en-US"/>
        </w:rPr>
        <w:t xml:space="preserve"> is given in Salomon (1827). A paper by Paucker in </w:t>
      </w:r>
      <w:r>
        <w:rPr>
          <w:i/>
          <w:iCs/>
          <w:color w:val="000000"/>
          <w:spacing w:val="0"/>
          <w:w w:val="100"/>
          <w:position w:val="0"/>
          <w:shd w:val="clear" w:color="auto" w:fill="auto"/>
          <w:lang w:val="en-US" w:eastAsia="en-US" w:bidi="en-US"/>
        </w:rPr>
        <w:t xml:space="preserve">Grunert’s </w:t>
      </w:r>
      <w:r>
        <w:rPr>
          <w:i/>
          <w:iCs/>
          <w:color w:val="000000"/>
          <w:spacing w:val="0"/>
          <w:w w:val="100"/>
          <w:position w:val="0"/>
          <w:shd w:val="clear" w:color="auto" w:fill="auto"/>
          <w:lang w:val="de-DE" w:eastAsia="de-DE" w:bidi="de-DE"/>
        </w:rPr>
        <w:t>Archiv</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i. p. 9) has a number of con</w:t>
        <w:softHyphen/>
        <w:t xml:space="preserve">stants involving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given to a great many places, and Gauss’s memoir on the </w:t>
      </w:r>
      <w:r>
        <w:rPr>
          <w:color w:val="000000"/>
          <w:spacing w:val="0"/>
          <w:w w:val="100"/>
          <w:position w:val="0"/>
          <w:shd w:val="clear" w:color="auto" w:fill="auto"/>
          <w:lang w:val="la-001" w:eastAsia="la-001" w:bidi="la-001"/>
        </w:rPr>
        <w:t xml:space="preserve">lemniscate </w:t>
      </w:r>
      <w:r>
        <w:rPr>
          <w:color w:val="000000"/>
          <w:spacing w:val="0"/>
          <w:w w:val="100"/>
          <w:position w:val="0"/>
          <w:shd w:val="clear" w:color="auto" w:fill="auto"/>
          <w:lang w:val="en-US" w:eastAsia="en-US" w:bidi="en-US"/>
        </w:rPr>
        <w:t xml:space="preserve">function ( </w:t>
      </w:r>
      <w:r>
        <w:rPr>
          <w:i/>
          <w:iCs/>
          <w:color w:val="000000"/>
          <w:spacing w:val="0"/>
          <w:w w:val="100"/>
          <w:position w:val="0"/>
          <w:shd w:val="clear" w:color="auto" w:fill="auto"/>
          <w:lang w:val="de-DE" w:eastAsia="de-DE" w:bidi="de-DE"/>
        </w:rPr>
        <w:t>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iii.) has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-π</w:t>
      </w:r>
      <w:r>
        <w:rPr>
          <w:i/>
          <w:iCs/>
          <w:color w:val="000000"/>
          <w:spacing w:val="0"/>
          <w:w w:val="100"/>
          <w:position w:val="0"/>
          <w:shd w:val="clear" w:color="auto" w:fill="auto"/>
          <w:lang w:val="en-US" w:eastAsia="en-US" w:bidi="en-US"/>
        </w:rPr>
        <w:t>, e</w:t>
      </w:r>
      <w:r>
        <w:rPr>
          <w:i/>
          <w:iCs/>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vertAlign w:val="superscript"/>
          <w:lang w:val="el-GR" w:eastAsia="el-GR" w:bidi="el-GR"/>
        </w:rPr>
        <w:t>π</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 xml:space="preserve"> e</w:t>
      </w:r>
      <w:r>
        <w:rPr>
          <w:i/>
          <w:iCs/>
          <w:color w:val="000000"/>
          <w:spacing w:val="0"/>
          <w:w w:val="100"/>
          <w:position w:val="0"/>
          <w:shd w:val="clear" w:color="auto" w:fill="auto"/>
          <w:vertAlign w:val="superscript"/>
          <w:lang w:val="en-US" w:eastAsia="en-US" w:bidi="en-US"/>
        </w:rPr>
        <w:t>-2/4π</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&amp;c., calculated to about 50 places. The quantity </w:t>
      </w:r>
      <w:r>
        <w:rPr>
          <w:i/>
          <w:iCs/>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 xml:space="preserve"> has been worked out to 707 places (Shanks,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xxi. p. 319) and Euler’s constant to 263 places (Adams,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xxvii. p. 88). The value of the modulus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calculated by Prof. Adams, is given in </w:t>
      </w:r>
      <w:r>
        <w:rPr>
          <w:smallCaps/>
          <w:color w:val="000000"/>
          <w:spacing w:val="0"/>
          <w:w w:val="100"/>
          <w:position w:val="0"/>
          <w:shd w:val="clear" w:color="auto" w:fill="auto"/>
          <w:lang w:val="en-US" w:eastAsia="en-US" w:bidi="en-US"/>
        </w:rPr>
        <w:t>Logarithms,</w:t>
      </w:r>
      <w:r>
        <w:rPr>
          <w:color w:val="000000"/>
          <w:spacing w:val="0"/>
          <w:w w:val="100"/>
          <w:position w:val="0"/>
          <w:shd w:val="clear" w:color="auto" w:fill="auto"/>
          <w:lang w:val="en-US" w:eastAsia="en-US" w:bidi="en-US"/>
        </w:rPr>
        <w:t xml:space="preserve"> vol. xiv. p. 779. This value is correct to 263 places ; but the calculation has since been carried to 272 places (see Adams,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xlii. p. 22, 1887).</w:t>
      </w:r>
    </w:p>
    <w:p>
      <w:pPr>
        <w:pStyle w:val="Style3"/>
        <w:keepNext w:val="0"/>
        <w:keepLines w:val="0"/>
        <w:widowControl w:val="0"/>
        <w:shd w:val="clear" w:color="auto" w:fill="auto"/>
        <w:bidi w:val="0"/>
        <w:spacing w:line="228" w:lineRule="auto"/>
        <w:ind w:left="0" w:firstLine="360"/>
        <w:jc w:val="left"/>
      </w:pPr>
      <w:r>
        <w:rPr>
          <w:i/>
          <w:iCs/>
          <w:color w:val="000000"/>
          <w:spacing w:val="0"/>
          <w:w w:val="100"/>
          <w:position w:val="0"/>
          <w:shd w:val="clear" w:color="auto" w:fill="auto"/>
          <w:lang w:val="en-US" w:eastAsia="en-US" w:bidi="en-US"/>
        </w:rPr>
        <w:t xml:space="preserve">Tables for the Solution of the Irreducible Case in Cubic Equations.— </w:t>
      </w:r>
      <w:r>
        <w:rPr>
          <w:color w:val="000000"/>
          <w:spacing w:val="0"/>
          <w:w w:val="100"/>
          <w:position w:val="0"/>
          <w:shd w:val="clear" w:color="auto" w:fill="auto"/>
          <w:lang w:val="en-US" w:eastAsia="en-US" w:bidi="en-US"/>
        </w:rPr>
        <w:t xml:space="preserve">Lambert, </w:t>
      </w:r>
      <w:r>
        <w:rPr>
          <w:i/>
          <w:iCs/>
          <w:color w:val="000000"/>
          <w:spacing w:val="0"/>
          <w:w w:val="100"/>
          <w:position w:val="0"/>
          <w:shd w:val="clear" w:color="auto" w:fill="auto"/>
          <w:lang w:val="la-001" w:eastAsia="la-001" w:bidi="la-001"/>
        </w:rPr>
        <w:t>Supplementa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(1798), gives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001 to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155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01 </w:t>
      </w:r>
      <w:r>
        <w:rPr>
          <w:color w:val="000000"/>
          <w:spacing w:val="0"/>
          <w:w w:val="100"/>
          <w:position w:val="0"/>
          <w:shd w:val="clear" w:color="auto" w:fill="auto"/>
          <w:lang w:val="en-US" w:eastAsia="en-US" w:bidi="en-US"/>
        </w:rPr>
        <w:t xml:space="preserve">to 7 places, and Barlow (1814) gives </w:t>
      </w:r>
      <w:r>
        <w:rPr>
          <w:i/>
          <w:iCs/>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fr-FR" w:eastAsia="fr-FR" w:bidi="fr-FR"/>
        </w:rPr>
        <w:t xml:space="preserve">=l </w:t>
      </w:r>
      <w:r>
        <w:rPr>
          <w:color w:val="000000"/>
          <w:spacing w:val="0"/>
          <w:w w:val="100"/>
          <w:position w:val="0"/>
          <w:shd w:val="clear" w:color="auto" w:fill="auto"/>
          <w:lang w:val="en-US" w:eastAsia="en-US" w:bidi="en-US"/>
        </w:rPr>
        <w:t>to 1</w:t>
      </w:r>
      <w:r>
        <w:rPr>
          <w:color w:val="000000"/>
          <w:spacing w:val="0"/>
          <w:w w:val="100"/>
          <w:position w:val="0"/>
          <w:shd w:val="clear" w:color="auto" w:fill="auto"/>
          <w:lang w:val="en-US" w:eastAsia="en-US" w:bidi="en-US"/>
        </w:rPr>
        <w:t>∙1</w:t>
      </w:r>
      <w:r>
        <w:rPr>
          <w:color w:val="000000"/>
          <w:spacing w:val="0"/>
          <w:w w:val="100"/>
          <w:position w:val="0"/>
          <w:shd w:val="clear" w:color="auto" w:fill="auto"/>
          <w:lang w:val="en-US" w:eastAsia="en-US" w:bidi="en-US"/>
        </w:rPr>
        <w:t xml:space="preserve">549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w:t>
      </w:r>
      <w:r>
        <w:rPr>
          <w:color w:val="000000"/>
          <w:spacing w:val="0"/>
          <w:w w:val="100"/>
          <w:position w:val="0"/>
          <w:shd w:val="clear" w:color="auto" w:fill="auto"/>
          <w:lang w:val="el-GR" w:eastAsia="el-GR" w:bidi="el-GR"/>
        </w:rPr>
        <w:t xml:space="preserve">001 </w:t>
      </w:r>
      <w:r>
        <w:rPr>
          <w:color w:val="000000"/>
          <w:spacing w:val="0"/>
          <w:w w:val="100"/>
          <w:position w:val="0"/>
          <w:shd w:val="clear" w:color="auto" w:fill="auto"/>
          <w:lang w:val="en-US" w:eastAsia="en-US" w:bidi="en-US"/>
        </w:rPr>
        <w:t>to 8 places.</w:t>
      </w:r>
    </w:p>
    <w:p>
      <w:pPr>
        <w:pStyle w:val="Style3"/>
        <w:keepNext w:val="0"/>
        <w:keepLines w:val="0"/>
        <w:widowControl w:val="0"/>
        <w:shd w:val="clear" w:color="auto" w:fill="auto"/>
        <w:tabs>
          <w:tab w:pos="2689" w:val="left"/>
        </w:tabs>
        <w:bidi w:val="0"/>
        <w:spacing w:line="228" w:lineRule="auto"/>
        <w:ind w:left="360" w:hanging="360"/>
        <w:jc w:val="left"/>
      </w:pPr>
      <w:r>
        <w:rPr>
          <w:i/>
          <w:iCs/>
          <w:color w:val="000000"/>
          <w:spacing w:val="0"/>
          <w:w w:val="100"/>
          <w:position w:val="0"/>
          <w:shd w:val="clear" w:color="auto" w:fill="auto"/>
          <w:lang w:val="en-US" w:eastAsia="en-US" w:bidi="en-US"/>
        </w:rPr>
        <w:t>Binomial Theorem Coefficients.—</w:t>
      </w:r>
      <w:r>
        <w:rPr>
          <w:color w:val="000000"/>
          <w:spacing w:val="0"/>
          <w:w w:val="100"/>
          <w:position w:val="0"/>
          <w:shd w:val="clear" w:color="auto" w:fill="auto"/>
          <w:lang w:val="en-US" w:eastAsia="en-US" w:bidi="en-US"/>
        </w:rPr>
        <w:t>The values of</w:t>
      </w:r>
    </w:p>
    <w:p>
      <w:pPr>
        <w:pStyle w:val="Style3"/>
        <w:keepNext w:val="0"/>
        <w:keepLines w:val="0"/>
        <w:widowControl w:val="0"/>
        <w:shd w:val="clear" w:color="auto" w:fill="auto"/>
        <w:tabs>
          <w:tab w:pos="2689" w:val="left"/>
        </w:tabs>
        <w:bidi w:val="0"/>
        <w:spacing w:line="228" w:lineRule="auto"/>
        <w:ind w:left="360" w:hanging="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-1)/(1 . 2)]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-2)/(1 . 2. 3)] , . .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 .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-5)]/[1 . 2 . . . 6] ,</w:t>
      </w:r>
    </w:p>
    <w:p>
      <w:pPr>
        <w:pStyle w:val="Style3"/>
        <w:keepNext w:val="0"/>
        <w:keepLines w:val="0"/>
        <w:widowControl w:val="0"/>
        <w:shd w:val="clear" w:color="auto" w:fill="auto"/>
        <w:tabs>
          <w:tab w:pos="3236" w:val="left"/>
        </w:tabs>
        <w:bidi w:val="0"/>
        <w:spacing w:line="226" w:lineRule="auto"/>
        <w:ind w:left="0" w:firstLine="0"/>
        <w:jc w:val="left"/>
      </w:pP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to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1 at intervals of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01 to 7 places, are serviceable for use in interpolation by second and higher orders of differences. The table quoted above occurs in Schulze (1778), Barlow (1814), Vega (1797 and succeeding editions), Hantschl (1827), and </w:t>
      </w:r>
      <w:r>
        <w:rPr>
          <w:color w:val="000000"/>
          <w:spacing w:val="0"/>
          <w:w w:val="100"/>
          <w:position w:val="0"/>
          <w:shd w:val="clear" w:color="auto" w:fill="auto"/>
          <w:lang w:val="de-DE" w:eastAsia="de-DE" w:bidi="de-DE"/>
        </w:rPr>
        <w:t xml:space="preserve">Köhler </w:t>
      </w:r>
      <w:r>
        <w:rPr>
          <w:color w:val="000000"/>
          <w:spacing w:val="0"/>
          <w:w w:val="100"/>
          <w:position w:val="0"/>
          <w:shd w:val="clear" w:color="auto" w:fill="auto"/>
          <w:lang w:val="en-US" w:eastAsia="en-US" w:bidi="en-US"/>
        </w:rPr>
        <w:t xml:space="preserve">(1848). Rouse, </w:t>
      </w:r>
      <w:r>
        <w:rPr>
          <w:i/>
          <w:iCs/>
          <w:color w:val="000000"/>
          <w:spacing w:val="0"/>
          <w:w w:val="100"/>
          <w:position w:val="0"/>
          <w:shd w:val="clear" w:color="auto" w:fill="auto"/>
          <w:lang w:val="en-US" w:eastAsia="en-US" w:bidi="en-US"/>
        </w:rPr>
        <w:t>Doctrine of Chances</w:t>
      </w:r>
      <w:r>
        <w:rPr>
          <w:color w:val="000000"/>
          <w:spacing w:val="0"/>
          <w:w w:val="100"/>
          <w:position w:val="0"/>
          <w:shd w:val="clear" w:color="auto" w:fill="auto"/>
          <w:lang w:val="en-US" w:eastAsia="en-US" w:bidi="en-US"/>
        </w:rPr>
        <w:t xml:space="preserve"> (London, no date), gives on a folding sheet </w:t>
      </w:r>
      <w:r>
        <w:rPr>
          <w:i/>
          <w:iCs/>
          <w:color w:val="000000"/>
          <w:spacing w:val="0"/>
          <w:w w:val="100"/>
          <w:position w:val="0"/>
          <w:shd w:val="clear" w:color="auto" w:fill="auto"/>
          <w:lang w:val="en-US" w:eastAsia="en-US" w:bidi="en-US"/>
        </w:rPr>
        <w:t>(a + b)</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n=l,</w:t>
      </w:r>
      <w:r>
        <w:rPr>
          <w:color w:val="000000"/>
          <w:spacing w:val="0"/>
          <w:w w:val="100"/>
          <w:position w:val="0"/>
          <w:shd w:val="clear" w:color="auto" w:fill="auto"/>
          <w:lang w:val="en-US" w:eastAsia="en-US" w:bidi="en-US"/>
        </w:rPr>
        <w:t xml:space="preserve"> 2,... 20. Lambert, </w:t>
      </w:r>
      <w:r>
        <w:rPr>
          <w:i/>
          <w:iCs/>
          <w:color w:val="000000"/>
          <w:spacing w:val="0"/>
          <w:w w:val="100"/>
          <w:position w:val="0"/>
          <w:shd w:val="clear" w:color="auto" w:fill="auto"/>
          <w:lang w:val="la-001" w:eastAsia="la-001" w:bidi="la-001"/>
        </w:rPr>
        <w:t xml:space="preserve">Supplementa </w:t>
      </w:r>
      <w:r>
        <w:rPr>
          <w:color w:val="000000"/>
          <w:spacing w:val="0"/>
          <w:w w:val="100"/>
          <w:position w:val="0"/>
          <w:shd w:val="clear" w:color="auto" w:fill="auto"/>
          <w:lang w:val="en-US" w:eastAsia="en-US" w:bidi="en-US"/>
        </w:rPr>
        <w:t xml:space="preserve">(1798), has the coefficients of the first 16 terms in (l+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 and (1 -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1/2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their accurate values being given as decimals. Vega (1797)</w:t>
      </w:r>
    </w:p>
    <w:p>
      <w:pPr>
        <w:pStyle w:val="Style3"/>
        <w:keepNext w:val="0"/>
        <w:keepLines w:val="0"/>
        <w:widowControl w:val="0"/>
        <w:shd w:val="clear" w:color="auto" w:fill="auto"/>
        <w:tabs>
          <w:tab w:pos="2689" w:val="left"/>
          <w:tab w:pos="3485" w:val="left"/>
        </w:tabs>
        <w:bidi w:val="0"/>
        <w:spacing w:line="180" w:lineRule="auto"/>
        <w:ind w:left="0" w:firstLine="0"/>
        <w:jc w:val="left"/>
      </w:pPr>
      <w:r>
        <w:rPr>
          <w:color w:val="000000"/>
          <w:spacing w:val="0"/>
          <w:w w:val="100"/>
          <w:position w:val="0"/>
          <w:shd w:val="clear" w:color="auto" w:fill="auto"/>
          <w:lang w:val="en-US" w:eastAsia="en-US" w:bidi="en-US"/>
        </w:rPr>
        <w:t>has a page of tables giving 1/(2</w:t>
      </w:r>
      <w:r>
        <w:rPr>
          <w:color w:val="000000"/>
          <w:spacing w:val="0"/>
          <w:w w:val="100"/>
          <w:position w:val="0"/>
          <w:shd w:val="clear" w:color="auto" w:fill="auto"/>
          <w:lang w:val="en-US" w:eastAsia="en-US" w:bidi="en-US"/>
        </w:rPr>
        <w:t>∙4), (1∙3)/(2∙4∙6), . . . 1/(2∙3), . . .</w:t>
      </w:r>
      <w:r>
        <w:rPr>
          <w:color w:val="000000"/>
          <w:spacing w:val="0"/>
          <w:w w:val="100"/>
          <w:position w:val="0"/>
          <w:shd w:val="clear" w:color="auto" w:fill="auto"/>
          <w:lang w:val="en-US" w:eastAsia="en-US" w:bidi="en-US"/>
        </w:rPr>
        <w:t>and similar</w:t>
        <w:softHyphen/>
      </w:r>
    </w:p>
    <w:p>
      <w:pPr>
        <w:pStyle w:val="Style3"/>
        <w:keepNext w:val="0"/>
        <w:keepLines w:val="0"/>
        <w:widowControl w:val="0"/>
        <w:shd w:val="clear" w:color="auto" w:fill="auto"/>
        <w:tabs>
          <w:tab w:pos="3751" w:val="left"/>
        </w:tabs>
        <w:bidi w:val="0"/>
        <w:spacing w:line="228" w:lineRule="auto"/>
        <w:ind w:left="0" w:firstLine="0"/>
        <w:jc w:val="left"/>
      </w:pPr>
      <w:r>
        <w:rPr>
          <w:color w:val="000000"/>
          <w:spacing w:val="0"/>
          <w:w w:val="100"/>
          <w:position w:val="0"/>
          <w:shd w:val="clear" w:color="auto" w:fill="auto"/>
          <w:lang w:val="en-US" w:eastAsia="en-US" w:bidi="en-US"/>
        </w:rPr>
        <w:t xml:space="preserve">quantities to 10 places, with their logarithms to 7 places, and a page of this kind occurs in other collections. </w:t>
      </w:r>
      <w:r>
        <w:rPr>
          <w:color w:val="000000"/>
          <w:spacing w:val="0"/>
          <w:w w:val="100"/>
          <w:position w:val="0"/>
          <w:shd w:val="clear" w:color="auto" w:fill="auto"/>
          <w:lang w:val="de-DE" w:eastAsia="de-DE" w:bidi="de-DE"/>
        </w:rPr>
        <w:t xml:space="preserve">Köhler </w:t>
      </w:r>
      <w:r>
        <w:rPr>
          <w:color w:val="000000"/>
          <w:spacing w:val="0"/>
          <w:w w:val="100"/>
          <w:position w:val="0"/>
          <w:shd w:val="clear" w:color="auto" w:fill="auto"/>
          <w:lang w:val="en-US" w:eastAsia="en-US" w:bidi="en-US"/>
        </w:rPr>
        <w:t>(1848) gives the values of 40 such quantities.</w:t>
      </w:r>
    </w:p>
    <w:p>
      <w:pPr>
        <w:pStyle w:val="Style3"/>
        <w:keepNext w:val="0"/>
        <w:keepLines w:val="0"/>
        <w:widowControl w:val="0"/>
        <w:shd w:val="clear" w:color="auto" w:fill="auto"/>
        <w:tabs>
          <w:tab w:pos="2103" w:val="left"/>
          <w:tab w:pos="4133" w:val="left"/>
        </w:tabs>
        <w:bidi w:val="0"/>
        <w:spacing w:line="228" w:lineRule="auto"/>
        <w:ind w:left="0" w:firstLine="360"/>
        <w:jc w:val="left"/>
      </w:pPr>
      <w:r>
        <w:rPr>
          <w:i/>
          <w:iCs/>
          <w:color w:val="000000"/>
          <w:spacing w:val="0"/>
          <w:w w:val="100"/>
          <w:position w:val="0"/>
          <w:shd w:val="clear" w:color="auto" w:fill="auto"/>
          <w:lang w:val="la-001" w:eastAsia="la-001" w:bidi="la-001"/>
        </w:rPr>
        <w:t xml:space="preserve">Figurate </w:t>
      </w:r>
      <w:r>
        <w:rPr>
          <w:i/>
          <w:iCs/>
          <w:color w:val="000000"/>
          <w:spacing w:val="0"/>
          <w:w w:val="100"/>
          <w:position w:val="0"/>
          <w:shd w:val="clear" w:color="auto" w:fill="auto"/>
          <w:lang w:val="en-US" w:eastAsia="en-US" w:bidi="en-US"/>
        </w:rPr>
        <w:t>Numbers.—</w:t>
      </w:r>
      <w:r>
        <w:rPr>
          <w:color w:val="000000"/>
          <w:spacing w:val="0"/>
          <w:w w:val="100"/>
          <w:position w:val="0"/>
          <w:shd w:val="clear" w:color="auto" w:fill="auto"/>
          <w:lang w:val="en-US" w:eastAsia="en-US" w:bidi="en-US"/>
        </w:rPr>
        <w:t xml:space="preserve">Lambert, </w:t>
      </w:r>
      <w:r>
        <w:rPr>
          <w:i/>
          <w:iCs/>
          <w:color w:val="000000"/>
          <w:spacing w:val="0"/>
          <w:w w:val="100"/>
          <w:position w:val="0"/>
          <w:shd w:val="clear" w:color="auto" w:fill="auto"/>
          <w:lang w:val="la-001" w:eastAsia="la-001" w:bidi="la-001"/>
        </w:rPr>
        <w:t>Supplementa,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gives </w:t>
      </w:r>
      <w:r>
        <w:rPr>
          <w:i/>
          <w:iCs/>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 xml:space="preserve">∙2], . . . [x(x+1). . .(x+11)]/[1.2. . . 12] </w:t>
      </w:r>
      <w:r>
        <w:rPr>
          <w:color w:val="000000"/>
          <w:spacing w:val="0"/>
          <w:w w:val="100"/>
          <w:position w:val="0"/>
          <w:shd w:val="clear" w:color="auto" w:fill="auto"/>
          <w:lang w:val="en-US" w:eastAsia="en-US" w:bidi="en-US"/>
        </w:rPr>
        <w:t>from x=l to 30.</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Trigonometrical Quadratic Surds.—</w:t>
      </w:r>
      <w:r>
        <w:rPr>
          <w:color w:val="000000"/>
          <w:spacing w:val="0"/>
          <w:w w:val="100"/>
          <w:position w:val="0"/>
          <w:shd w:val="clear" w:color="auto" w:fill="auto"/>
          <w:lang w:val="en-US" w:eastAsia="en-US" w:bidi="en-US"/>
        </w:rPr>
        <w:t xml:space="preserve">The surd values of the sines of every third degree of the quadrant are given in some tables of logarithms;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Hutton’s (p. xxxix., ed. 1855), we find sin 3</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⅛</w:t>
      </w:r>
      <w:r>
        <w:rPr>
          <w:color w:val="000000"/>
          <w:spacing w:val="0"/>
          <w:w w:val="100"/>
          <w:position w:val="0"/>
          <w:shd w:val="clear" w:color="auto" w:fill="auto"/>
          <w:lang w:val="en-US" w:eastAsia="en-US" w:bidi="en-US"/>
        </w:rPr>
        <w:t>{√(5 + √5) + √15/2+ √5/2 - √(15 + 3√5) - √3/2 - √</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 and the numerical values of the surds √(5 + √5), √(15/2), &amp;c., are given to 10 places. These values were extended to 20 places by Peter Gray, </w:t>
      </w:r>
      <w:r>
        <w:rPr>
          <w:i/>
          <w:iCs/>
          <w:color w:val="000000"/>
          <w:spacing w:val="0"/>
          <w:w w:val="100"/>
          <w:position w:val="0"/>
          <w:shd w:val="clear" w:color="auto" w:fill="auto"/>
          <w:lang w:val="en-US" w:eastAsia="en-US" w:bidi="en-US"/>
        </w:rPr>
        <w:t>Messenger of Math.,</w:t>
      </w:r>
      <w:r>
        <w:rPr>
          <w:color w:val="000000"/>
          <w:spacing w:val="0"/>
          <w:w w:val="100"/>
          <w:position w:val="0"/>
          <w:shd w:val="clear" w:color="auto" w:fill="auto"/>
          <w:lang w:val="en-US" w:eastAsia="en-US" w:bidi="en-US"/>
        </w:rPr>
        <w:t xml:space="preserve"> vol. vi. (1877), p. 105.</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Circulating Decimals.—</w:t>
      </w:r>
      <w:r>
        <w:rPr>
          <w:color w:val="000000"/>
          <w:spacing w:val="0"/>
          <w:w w:val="100"/>
          <w:position w:val="0"/>
          <w:shd w:val="clear" w:color="auto" w:fill="auto"/>
          <w:lang w:val="en-US" w:eastAsia="en-US" w:bidi="en-US"/>
        </w:rPr>
        <w:t>Goodwyn’s tables have been described above, p. 8. Several others have been published giving the num</w:t>
        <w:softHyphen/>
        <w:t>bers of digits in the periods of the reciprocals of primes : Burck</w:t>
        <w:softHyphen/>
        <w:t xml:space="preserve">hardt,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 xml:space="preserve">des Diviseurs </w:t>
      </w:r>
      <w:r>
        <w:rPr>
          <w:i/>
          <w:iCs/>
          <w:color w:val="000000"/>
          <w:spacing w:val="0"/>
          <w:w w:val="100"/>
          <w:position w:val="0"/>
          <w:shd w:val="clear" w:color="auto" w:fill="auto"/>
          <w:lang w:val="en-US" w:eastAsia="en-US" w:bidi="en-US"/>
        </w:rPr>
        <w:t>du Premier Million</w:t>
      </w:r>
      <w:r>
        <w:rPr>
          <w:color w:val="000000"/>
          <w:spacing w:val="0"/>
          <w:w w:val="100"/>
          <w:position w:val="0"/>
          <w:shd w:val="clear" w:color="auto" w:fill="auto"/>
          <w:lang w:val="en-US" w:eastAsia="en-US" w:bidi="en-US"/>
        </w:rPr>
        <w:t xml:space="preserve"> (Paris, 1814-17), gave one for all primes up to 2,543 and for 22 primes exceeding that limit. Desmarest, </w:t>
      </w:r>
      <w:r>
        <w:rPr>
          <w:i/>
          <w:iCs/>
          <w:color w:val="000000"/>
          <w:spacing w:val="0"/>
          <w:w w:val="100"/>
          <w:position w:val="0"/>
          <w:shd w:val="clear" w:color="auto" w:fill="auto"/>
          <w:lang w:val="fr-FR" w:eastAsia="fr-FR" w:bidi="fr-FR"/>
        </w:rPr>
        <w:t>Théorie des Nombres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1852), included all primes up to 10,000. Reuschle, </w:t>
      </w:r>
      <w:r>
        <w:rPr>
          <w:i/>
          <w:iCs/>
          <w:color w:val="000000"/>
          <w:spacing w:val="0"/>
          <w:w w:val="100"/>
          <w:position w:val="0"/>
          <w:shd w:val="clear" w:color="auto" w:fill="auto"/>
          <w:lang w:val="de-DE" w:eastAsia="de-DE" w:bidi="de-DE"/>
        </w:rPr>
        <w:t>Mathematische Abhandlung, enthaltend neue zahlentheoretische Tabellen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(1856), contains a simi</w:t>
        <w:softHyphen/>
        <w:t xml:space="preserve">lar table to 15,000. This Shanks extended to 60,000 ; the portion from 1 to 30,000 is printed in the </w:t>
      </w:r>
      <w:r>
        <w:rPr>
          <w:i/>
          <w:iCs/>
          <w:color w:val="000000"/>
          <w:spacing w:val="0"/>
          <w:w w:val="100"/>
          <w:position w:val="0"/>
          <w:shd w:val="clear" w:color="auto" w:fill="auto"/>
          <w:lang w:val="en-US" w:eastAsia="en-US" w:bidi="en-US"/>
        </w:rPr>
        <w:t>Proc. Roy. Soc.,</w:t>
      </w:r>
      <w:r>
        <w:rPr>
          <w:color w:val="000000"/>
          <w:spacing w:val="0"/>
          <w:w w:val="100"/>
          <w:position w:val="0"/>
          <w:shd w:val="clear" w:color="auto" w:fill="auto"/>
          <w:lang w:val="en-US" w:eastAsia="en-US" w:bidi="en-US"/>
        </w:rPr>
        <w:t xml:space="preserve"> vol. xxii. p. 200, and the remainder is preserved in the archives of the society </w:t>
      </w:r>
      <w:r>
        <w:rPr>
          <w:i/>
          <w:iCs/>
          <w:color w:val="000000"/>
          <w:spacing w:val="0"/>
          <w:w w:val="100"/>
          <w:position w:val="0"/>
          <w:shd w:val="clear" w:color="auto" w:fill="auto"/>
          <w:lang w:val="en-US" w:eastAsia="en-US" w:bidi="en-US"/>
        </w:rPr>
        <w:t xml:space="preserve">(Id., </w:t>
      </w:r>
      <w:r>
        <w:rPr>
          <w:color w:val="000000"/>
          <w:spacing w:val="0"/>
          <w:w w:val="100"/>
          <w:position w:val="0"/>
          <w:shd w:val="clear" w:color="auto" w:fill="auto"/>
          <w:lang w:val="en-US" w:eastAsia="en-US" w:bidi="en-US"/>
        </w:rPr>
        <w:t>xxiii. p. 260 and xxiv. p. 392). The number of digits in the decimal period of - is the same as the exponent to which 10 be</w:t>
        <w:softHyphen/>
        <w:t xml:space="preserve">longs for modulus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so that, whenever the period has </w:t>
      </w:r>
      <w:r>
        <w:rPr>
          <w:i/>
          <w:iCs/>
          <w:color w:val="000000"/>
          <w:spacing w:val="0"/>
          <w:w w:val="100"/>
          <w:position w:val="0"/>
          <w:shd w:val="clear" w:color="auto" w:fill="auto"/>
          <w:lang w:val="en-US" w:eastAsia="en-US" w:bidi="en-US"/>
        </w:rPr>
        <w:t>p-1</w:t>
      </w:r>
      <w:r>
        <w:rPr>
          <w:color w:val="000000"/>
          <w:spacing w:val="0"/>
          <w:w w:val="100"/>
          <w:position w:val="0"/>
          <w:shd w:val="clear" w:color="auto" w:fill="auto"/>
          <w:lang w:val="en-US" w:eastAsia="en-US" w:bidi="en-US"/>
        </w:rPr>
        <w:t xml:space="preserve"> digits, 10 is a primitive root of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Tables of primes having a given number,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of digits in their periods,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tables of the resolutions of 10</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- 1 into factors and, as far as known, into prime factors, have been given by Loof (in </w:t>
      </w:r>
      <w:r>
        <w:rPr>
          <w:i/>
          <w:iCs/>
          <w:color w:val="000000"/>
          <w:spacing w:val="0"/>
          <w:w w:val="100"/>
          <w:position w:val="0"/>
          <w:shd w:val="clear" w:color="auto" w:fill="auto"/>
          <w:lang w:val="en-US" w:eastAsia="en-US" w:bidi="en-US"/>
        </w:rPr>
        <w:t xml:space="preserve">Grunert’s </w:t>
      </w:r>
      <w:r>
        <w:rPr>
          <w:i/>
          <w:iCs/>
          <w:color w:val="000000"/>
          <w:spacing w:val="0"/>
          <w:w w:val="100"/>
          <w:position w:val="0"/>
          <w:shd w:val="clear" w:color="auto" w:fill="auto"/>
          <w:lang w:val="de-DE" w:eastAsia="de-DE" w:bidi="de-DE"/>
        </w:rPr>
        <w:t>Archiv,</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xvi. p. 54 ; reprinted in </w:t>
      </w:r>
      <w:r>
        <w:rPr>
          <w:i/>
          <w:iCs/>
          <w:color w:val="000000"/>
          <w:spacing w:val="0"/>
          <w:w w:val="100"/>
          <w:position w:val="0"/>
          <w:shd w:val="clear" w:color="auto" w:fill="auto"/>
          <w:lang w:val="en-US" w:eastAsia="en-US" w:bidi="en-US"/>
        </w:rPr>
        <w:t xml:space="preserve">Nouv. </w:t>
      </w:r>
      <w:r>
        <w:rPr>
          <w:i/>
          <w:iCs/>
          <w:color w:val="000000"/>
          <w:spacing w:val="0"/>
          <w:w w:val="100"/>
          <w:position w:val="0"/>
          <w:shd w:val="clear" w:color="auto" w:fill="auto"/>
          <w:lang w:val="fr-FR" w:eastAsia="fr-FR" w:bidi="fr-FR"/>
        </w:rPr>
        <w:t>Annales,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vol. xiv. p. 115) and by Shanks </w:t>
      </w:r>
      <w:r>
        <w:rPr>
          <w:i/>
          <w:iCs/>
          <w:color w:val="000000"/>
          <w:spacing w:val="0"/>
          <w:w w:val="100"/>
          <w:position w:val="0"/>
          <w:shd w:val="clear" w:color="auto" w:fill="auto"/>
          <w:lang w:val="en-US" w:eastAsia="en-US" w:bidi="en-US"/>
        </w:rPr>
        <w:t xml:space="preserve">(Proc. Roy. Soc., </w:t>
      </w:r>
      <w:r>
        <w:rPr>
          <w:color w:val="000000"/>
          <w:spacing w:val="0"/>
          <w:w w:val="100"/>
          <w:position w:val="0"/>
          <w:shd w:val="clear" w:color="auto" w:fill="auto"/>
          <w:lang w:val="en-US" w:eastAsia="en-US" w:bidi="en-US"/>
        </w:rPr>
        <w:t xml:space="preserve">vol. xxii. p. 381). The former extends to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60 and the latter to n = 100, but there are gaps in both. Reuschle’s tract also contains resolutions of 10</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- 1. For further references on circulating deci</w:t>
        <w:softHyphen/>
        <w:t xml:space="preserve">mals, see </w:t>
      </w:r>
      <w:r>
        <w:rPr>
          <w:i/>
          <w:iCs/>
          <w:color w:val="000000"/>
          <w:spacing w:val="0"/>
          <w:w w:val="100"/>
          <w:position w:val="0"/>
          <w:shd w:val="clear" w:color="auto" w:fill="auto"/>
          <w:lang w:val="en-US" w:eastAsia="en-US" w:bidi="en-US"/>
        </w:rPr>
        <w:t>Proc. Camb. Phil. Soc.,</w:t>
      </w:r>
      <w:r>
        <w:rPr>
          <w:color w:val="000000"/>
          <w:spacing w:val="0"/>
          <w:w w:val="100"/>
          <w:position w:val="0"/>
          <w:shd w:val="clear" w:color="auto" w:fill="auto"/>
          <w:lang w:val="en-US" w:eastAsia="en-US" w:bidi="en-US"/>
        </w:rPr>
        <w:t xml:space="preserve"> vol. iii. p. 185 (1878).</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Pythagorean Triangles.—</w:t>
      </w:r>
      <w:r>
        <w:rPr>
          <w:color w:val="000000"/>
          <w:spacing w:val="0"/>
          <w:w w:val="100"/>
          <w:position w:val="0"/>
          <w:shd w:val="clear" w:color="auto" w:fill="auto"/>
          <w:lang w:val="en-US" w:eastAsia="en-US" w:bidi="en-US"/>
        </w:rPr>
        <w:t>Right-angled triangles in which the</w:t>
      </w:r>
    </w:p>
    <w:sectPr>
      <w:footnotePr>
        <w:pos w:val="pageBottom"/>
        <w:numFmt w:val="decimal"/>
        <w:numRestart w:val="continuous"/>
      </w:footnotePr>
      <w:pgSz w:w="12240" w:h="16840"/>
      <w:pgMar w:top="1558" w:left="1401" w:right="1421" w:bottom="14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