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among the Christians, and is still extant. This discourse is distinguished from the other apologies of that century by the brusqueness with which its author repudiates the culture of the Greeks ; his scorn, however, does not forget to avail itself of the resources of Greek philosophy and rhetoric. His polemic often reminds the reader of the Cynics and of such scoffers as Lucian ; his view of things, however, is very different from that of the last-named writer, for with Tatian the “ barbarian philosophy, ” on behalf of which he speaks, which teaches a monotheistic cosmology and inculcates rigid asceticism and renunciation of the world, is indisputably certain. In many details, and even in the general outline of his philosophy, Tatian the Christian continued without knowing it to be a Platon- izing philosopher; but that he had undergone a radical change is shown by his views of history and civilization, his faith in one living God, his conviction that truth is contained nowhere else than in the Christian Scriptures, his attitude of trust towards the Logos, made man in Jesus Christ, and finally by his earnest and world-forsaking expectation of judgment to come. The </w:t>
      </w:r>
      <w:r>
        <w:rPr>
          <w:i/>
          <w:iCs/>
          <w:color w:val="000000"/>
          <w:spacing w:val="0"/>
          <w:w w:val="100"/>
          <w:position w:val="0"/>
          <w:shd w:val="clear" w:color="auto" w:fill="auto"/>
          <w:lang w:val="la-001" w:eastAsia="la-001" w:bidi="la-001"/>
        </w:rPr>
        <w:t>Oratio,</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which is polemical rather than apologetic in its character, has a special importance in the history of Christian dogma, inas</w:t>
        <w:softHyphen/>
        <w:t>much as it gives an elaborated exposition of the doctrine of the Logos ; it was also read by subsequent writers, as, for example, by Julius Africanus, for its chronological data. Tatian was the first apologist to undertake, on be</w:t>
        <w:softHyphen/>
        <w:t>half of Christianity, a work of the class which afterwards developed into the numerous “ world-histories ” written from the Christian point of view. Tatian’s diction is often rough, harsh, and abrupt, his sentences involved and inelegant. He has the art, indeed, of expressing him</w:t>
        <w:softHyphen/>
        <w:t>self with uncommon freedom and independence, and can put things also in a very graphic way, but at the same time he is a careless stylist, or rather, as an apostate from the Greek view of things, he has tried to accentuate his breach with classical traditions by elaborate carelessness and deliberate eccentricity.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Tatian soon returned from Greece to Rome, and came into close relations with the famous apologist Justin, whom he reverenced greatly. He himself established a school, to which the afterwards celebrated ecclesiastical writer </w:t>
      </w:r>
      <w:r>
        <w:rPr>
          <w:color w:val="000000"/>
          <w:spacing w:val="0"/>
          <w:w w:val="100"/>
          <w:position w:val="0"/>
          <w:shd w:val="clear" w:color="auto" w:fill="auto"/>
          <w:lang w:val="la-001" w:eastAsia="la-001" w:bidi="la-001"/>
        </w:rPr>
        <w:t xml:space="preserve">Rhodon </w:t>
      </w:r>
      <w:r>
        <w:rPr>
          <w:color w:val="000000"/>
          <w:spacing w:val="0"/>
          <w:w w:val="100"/>
          <w:position w:val="0"/>
          <w:shd w:val="clear" w:color="auto" w:fill="auto"/>
          <w:lang w:val="en-US" w:eastAsia="en-US" w:bidi="en-US"/>
        </w:rPr>
        <w:t xml:space="preserve">belonged for a time. So long as Justin lived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till 166) Tatian’s doctrines excited no feelings of offence in the Christian community, although even in his </w:t>
      </w:r>
      <w:r>
        <w:rPr>
          <w:i/>
          <w:iCs/>
          <w:color w:val="000000"/>
          <w:spacing w:val="0"/>
          <w:w w:val="100"/>
          <w:position w:val="0"/>
          <w:shd w:val="clear" w:color="auto" w:fill="auto"/>
          <w:lang w:val="la-001" w:eastAsia="la-001" w:bidi="la-001"/>
        </w:rPr>
        <w:t>Oratio</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there are germs of questionable and unorthodox views. These germs, however, he continued to develop until about 172 ; and, as about this very time the Roman church became severely opposed to everything Gnostic and heretical, a rupture was inevitable; the date of the breach is given by Eusebius (doubtless following Julius Africanus) as having been 172. But the teaching of Tatian had really become open to challenge. He drew a distinction between the supreme God and the demiurge, considering the latter to be good in his nature indeed, but quite a subordinate being ; he accepted the doctrine of a variety of </w:t>
      </w:r>
      <w:r>
        <w:rPr>
          <w:color w:val="000000"/>
          <w:spacing w:val="0"/>
          <w:w w:val="100"/>
          <w:position w:val="0"/>
          <w:shd w:val="clear" w:color="auto" w:fill="auto"/>
          <w:lang w:val="fr-FR" w:eastAsia="fr-FR" w:bidi="fr-FR"/>
        </w:rPr>
        <w:t xml:space="preserve">æons </w:t>
      </w:r>
      <w:r>
        <w:rPr>
          <w:color w:val="000000"/>
          <w:spacing w:val="0"/>
          <w:w w:val="100"/>
          <w:position w:val="0"/>
          <w:shd w:val="clear" w:color="auto" w:fill="auto"/>
          <w:lang w:val="en-US" w:eastAsia="en-US" w:bidi="en-US"/>
        </w:rPr>
        <w:t>; he utterly rejected marriage and the use of animal food ; he denied the blessedness of Adam ; he began to abandon the allegorical interpretation of the Scriptures and to see genuine difficulties and contradic</w:t>
        <w:softHyphen/>
        <w:t xml:space="preserve">tions in them ; he sought to demonstrate from the epistles of Paul the indispensableness of the most rigid asceticism ; but indeed all his “ heresies ” (and he has also been charged with docetism) have their explanation in this desire of his to establish a theoretical basis for his doctrine of the Christian duty of complete world-renunciation. He joined the “ Encratites,” a sect which indeed had existed before this time, but which received new life from his presence. Of his numerous writings belonging to this period nothing has survived the hostility which sought their repression </w:t>
      </w:r>
      <w:r>
        <w:rPr>
          <w:color w:val="000000"/>
          <w:spacing w:val="0"/>
          <w:w w:val="100"/>
          <w:position w:val="0"/>
          <w:shd w:val="clear" w:color="auto" w:fill="auto"/>
          <w:lang w:val="en-US" w:eastAsia="en-US" w:bidi="en-US"/>
        </w:rPr>
        <w:t xml:space="preserve">save a few titles </w:t>
      </w:r>
      <w:r>
        <w:rPr>
          <w:i/>
          <w:iCs/>
          <w:color w:val="000000"/>
          <w:spacing w:val="0"/>
          <w:w w:val="100"/>
          <w:position w:val="0"/>
          <w:shd w:val="clear" w:color="auto" w:fill="auto"/>
          <w:lang w:val="en-US" w:eastAsia="en-US" w:bidi="en-US"/>
        </w:rPr>
        <w:t>(β</w:t>
      </w:r>
      <w:r>
        <w:rPr>
          <w:i/>
          <w:iCs/>
          <w:color w:val="000000"/>
          <w:spacing w:val="0"/>
          <w:w w:val="100"/>
          <w:position w:val="0"/>
          <w:shd w:val="clear" w:color="auto" w:fill="auto"/>
          <w:lang w:val="en-US" w:eastAsia="en-US" w:bidi="en-US"/>
        </w:rPr>
        <w:t>ι</w:t>
      </w:r>
      <w:r>
        <w:rPr>
          <w:i/>
          <w:iCs/>
          <w:color w:val="000000"/>
          <w:spacing w:val="0"/>
          <w:w w:val="100"/>
          <w:position w:val="0"/>
          <w:shd w:val="clear" w:color="auto" w:fill="auto"/>
          <w:lang w:val="en-US" w:eastAsia="en-US" w:bidi="en-US"/>
        </w:rPr>
        <w:t>βλ</w:t>
      </w:r>
      <w:r>
        <w:rPr>
          <w:i/>
          <w:iCs/>
          <w:color w:val="000000"/>
          <w:spacing w:val="0"/>
          <w:w w:val="100"/>
          <w:position w:val="0"/>
          <w:shd w:val="clear" w:color="auto" w:fill="auto"/>
          <w:lang w:val="en-US" w:eastAsia="en-US" w:bidi="en-US"/>
        </w:rPr>
        <w:t>í</w:t>
      </w:r>
      <w:r>
        <w:rPr>
          <w:i/>
          <w:iCs/>
          <w:color w:val="000000"/>
          <w:spacing w:val="0"/>
          <w:w w:val="100"/>
          <w:position w:val="0"/>
          <w:shd w:val="clear" w:color="auto" w:fill="auto"/>
          <w:lang w:val="en-US" w:eastAsia="en-US" w:bidi="en-US"/>
        </w:rPr>
        <w:t xml:space="preserve">ov </w:t>
      </w:r>
      <w:r>
        <w:rPr>
          <w:i/>
          <w:iCs/>
          <w:color w:val="000000"/>
          <w:spacing w:val="0"/>
          <w:w w:val="100"/>
          <w:position w:val="0"/>
          <w:shd w:val="clear" w:color="auto" w:fill="auto"/>
          <w:lang w:val="el-GR" w:eastAsia="el-GR" w:bidi="el-GR"/>
        </w:rPr>
        <w:t>προβλημάτων,</w:t>
      </w:r>
      <w:r>
        <w:rPr>
          <w:color w:val="000000"/>
          <w:spacing w:val="0"/>
          <w:w w:val="100"/>
          <w:position w:val="0"/>
          <w:shd w:val="clear" w:color="auto" w:fill="auto"/>
          <w:lang w:val="el-GR" w:eastAsia="el-GR" w:bidi="el-GR"/>
        </w:rPr>
        <w:t xml:space="preserve"> </w:t>
      </w:r>
      <w:r>
        <w:rPr>
          <w:i/>
          <w:iCs/>
          <w:color w:val="000000"/>
          <w:spacing w:val="0"/>
          <w:w w:val="100"/>
          <w:position w:val="0"/>
          <w:shd w:val="clear" w:color="auto" w:fill="auto"/>
          <w:lang w:val="el-GR" w:eastAsia="el-GR" w:bidi="el-GR"/>
        </w:rPr>
        <w:t>π</w:t>
      </w:r>
      <w:r>
        <w:rPr>
          <w:i/>
          <w:iCs/>
          <w:color w:val="000000"/>
          <w:spacing w:val="0"/>
          <w:w w:val="100"/>
          <w:position w:val="0"/>
          <w:shd w:val="clear" w:color="auto" w:fill="auto"/>
          <w:lang w:val="el-GR" w:eastAsia="el-GR" w:bidi="el-GR"/>
        </w:rPr>
        <w:t>ερ</w:t>
      </w:r>
      <w:r>
        <w:rPr>
          <w:i/>
          <w:iCs/>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l-GR" w:eastAsia="el-GR" w:bidi="el-GR"/>
        </w:rPr>
        <w:t>το</w:t>
      </w:r>
      <w:r>
        <w:rPr>
          <w:color w:val="000000"/>
          <w:spacing w:val="0"/>
          <w:w w:val="100"/>
          <w:position w:val="0"/>
          <w:shd w:val="clear" w:color="auto" w:fill="auto"/>
          <w:lang w:val="el-GR" w:eastAsia="el-GR" w:bidi="el-GR"/>
        </w:rPr>
        <w:t>ύ</w:t>
      </w:r>
      <w:r>
        <w:rPr>
          <w:color w:val="000000"/>
          <w:spacing w:val="0"/>
          <w:w w:val="100"/>
          <w:position w:val="0"/>
          <w:shd w:val="clear" w:color="auto" w:fill="auto"/>
          <w:lang w:val="el-GR" w:eastAsia="el-GR" w:bidi="el-GR"/>
        </w:rPr>
        <w:t xml:space="preserve"> </w:t>
      </w:r>
      <w:r>
        <w:rPr>
          <w:i/>
          <w:iCs/>
          <w:color w:val="000000"/>
          <w:spacing w:val="0"/>
          <w:w w:val="100"/>
          <w:position w:val="0"/>
          <w:shd w:val="clear" w:color="auto" w:fill="auto"/>
          <w:lang w:val="el-GR" w:eastAsia="el-GR" w:bidi="el-GR"/>
        </w:rPr>
        <w:t>κατά, τ</w:t>
      </w:r>
      <w:r>
        <w:rPr>
          <w:i/>
          <w:iCs/>
          <w:color w:val="000000"/>
          <w:spacing w:val="0"/>
          <w:w w:val="100"/>
          <w:position w:val="0"/>
          <w:shd w:val="clear" w:color="auto" w:fill="auto"/>
          <w:lang w:val="el-GR" w:eastAsia="el-GR" w:bidi="el-GR"/>
        </w:rPr>
        <w:t>ό</w:t>
      </w:r>
      <w:r>
        <w:rPr>
          <w:i/>
          <w:iCs/>
          <w:color w:val="000000"/>
          <w:spacing w:val="0"/>
          <w:w w:val="100"/>
          <w:position w:val="0"/>
          <w:shd w:val="clear" w:color="auto" w:fill="auto"/>
          <w:lang w:val="el-GR" w:eastAsia="el-GR" w:bidi="el-GR"/>
        </w:rPr>
        <w:t>ν σωτ</w:t>
      </w:r>
      <w:r>
        <w:rPr>
          <w:i/>
          <w:iCs/>
          <w:color w:val="000000"/>
          <w:spacing w:val="0"/>
          <w:w w:val="100"/>
          <w:position w:val="0"/>
          <w:shd w:val="clear" w:color="auto" w:fill="auto"/>
          <w:lang w:val="el-GR" w:eastAsia="el-GR" w:bidi="el-GR"/>
        </w:rPr>
        <w:t>ή</w:t>
      </w:r>
      <w:r>
        <w:rPr>
          <w:i/>
          <w:iCs/>
          <w:color w:val="000000"/>
          <w:spacing w:val="0"/>
          <w:w w:val="100"/>
          <w:position w:val="0"/>
          <w:shd w:val="clear" w:color="auto" w:fill="auto"/>
          <w:lang w:val="el-GR" w:eastAsia="el-GR" w:bidi="el-GR"/>
        </w:rPr>
        <w:t>ρα καταρτισμού,</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&amp;c.) and one or two very interesting fragments in the works of Clement of Alexandria, Origen, and Jerome. Clement of Alexandria seems personally to have known Tatian, and even to have been his pupil for a time. Soon Tatian began also to be assailed in writing by the teachers of the church, and to be set aside as a very prodigy among heretics, and as a man who united the errors of Marcion with those of Valentine. Musanus, </w:t>
      </w:r>
      <w:r>
        <w:rPr>
          <w:color w:val="000000"/>
          <w:spacing w:val="0"/>
          <w:w w:val="100"/>
          <w:position w:val="0"/>
          <w:shd w:val="clear" w:color="auto" w:fill="auto"/>
          <w:lang w:val="la-001" w:eastAsia="la-001" w:bidi="la-001"/>
        </w:rPr>
        <w:t xml:space="preserve">Rhodon, </w:t>
      </w:r>
      <w:r>
        <w:rPr>
          <w:color w:val="000000"/>
          <w:spacing w:val="0"/>
          <w:w w:val="100"/>
          <w:position w:val="0"/>
          <w:shd w:val="clear" w:color="auto" w:fill="auto"/>
          <w:lang w:val="fr-FR" w:eastAsia="fr-FR" w:bidi="fr-FR"/>
        </w:rPr>
        <w:t xml:space="preserve">Irenæus, </w:t>
      </w:r>
      <w:r>
        <w:rPr>
          <w:color w:val="000000"/>
          <w:spacing w:val="0"/>
          <w:w w:val="100"/>
          <w:position w:val="0"/>
          <w:shd w:val="clear" w:color="auto" w:fill="auto"/>
          <w:lang w:val="en-US" w:eastAsia="en-US" w:bidi="en-US"/>
        </w:rPr>
        <w:t>the author of the Muratorian fragment (see below), Tertullian, Hippolytus, Clement of Alexandria, and Origen all took part in refuting him.</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Towards the end of his life, or perhaps even between 152 and 172, Tatian went from Rome to Mesopotamia, and there—probably in Edessa—wrought a great deal. It is probable that he was in Rome about the year 172, but whether he died there or in his native country is not ascertained. It is very possible that in Syria, where ecclesiastical matters had not been developed so far as in the West, the doctrines of Tatian met with toleration within the Christian communities, but neither of this can we be certain.@@</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But this we do know, that a work of Tatian’s not yet mentioned, the </w:t>
      </w:r>
      <w:r>
        <w:rPr>
          <w:i/>
          <w:iCs/>
          <w:color w:val="000000"/>
          <w:spacing w:val="0"/>
          <w:w w:val="100"/>
          <w:position w:val="0"/>
          <w:shd w:val="clear" w:color="auto" w:fill="auto"/>
          <w:lang w:val="en-US" w:eastAsia="en-US" w:bidi="en-US"/>
        </w:rPr>
        <w:t>Diatessaron,</w:t>
      </w:r>
      <w:r>
        <w:rPr>
          <w:color w:val="000000"/>
          <w:spacing w:val="0"/>
          <w:w w:val="100"/>
          <w:position w:val="0"/>
          <w:shd w:val="clear" w:color="auto" w:fill="auto"/>
          <w:lang w:val="en-US" w:eastAsia="en-US" w:bidi="en-US"/>
        </w:rPr>
        <w:t xml:space="preserve"> held its ground in the Syrian churches and even in ecclesiastical use for two whole centuries.</w:t>
      </w:r>
    </w:p>
    <w:p>
      <w:pPr>
        <w:pStyle w:val="Style8"/>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Diatessaron</w:t>
      </w:r>
      <w:r>
        <w:rPr>
          <w:color w:val="000000"/>
          <w:spacing w:val="0"/>
          <w:w w:val="100"/>
          <w:position w:val="0"/>
          <w:shd w:val="clear" w:color="auto" w:fill="auto"/>
          <w:lang w:val="en-US" w:eastAsia="en-US" w:bidi="en-US"/>
        </w:rPr>
        <w:t xml:space="preserve"> is a gospel very freely and boldly constructed by Tatian out of the four Gospels known to us. It cannot have been produced during his latter years, for all traces of dualism are absent. On the other hand, however, it exhibits certain peculiar</w:t>
        <w:softHyphen/>
        <w:t xml:space="preserve">ities of the theology of its compiler. Probably one would not be far wrong in assigning it to the first years of the reign of Marcus Aurelius. It was written by Tatian in Greek, not in Syriac as Zalin has tried to make out; this is shown—(1) by the title, it being known even among the Syrians as </w:t>
      </w:r>
      <w:r>
        <w:rPr>
          <w:i/>
          <w:iCs/>
          <w:color w:val="000000"/>
          <w:spacing w:val="0"/>
          <w:w w:val="100"/>
          <w:position w:val="0"/>
          <w:shd w:val="clear" w:color="auto" w:fill="auto"/>
          <w:lang w:val="en-US" w:eastAsia="en-US" w:bidi="en-US"/>
        </w:rPr>
        <w:t>Diatessaron</w:t>
      </w:r>
      <w:r>
        <w:rPr>
          <w:color w:val="000000"/>
          <w:spacing w:val="0"/>
          <w:w w:val="100"/>
          <w:position w:val="0"/>
          <w:shd w:val="clear" w:color="auto" w:fill="auto"/>
          <w:lang w:val="en-US" w:eastAsia="en-US" w:bidi="en-US"/>
        </w:rPr>
        <w:t xml:space="preserve"> ; (2) by a few Greek fragments which still survive; (3) by the Latin redaction which it received in the 6th century; (4) by its rejection in the Muratorian fragment—for that the word “m-tia-i,” carelessly cor</w:t>
        <w:softHyphen/>
        <w:t>rected by the transcriber, stood originally “ tatiani ” may be regarded as certain.@@</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In estimating the work scholars were formerly entirely dependent on certain meagre notices in Eusebius, Theodoret, Ephraem </w:t>
      </w:r>
      <w:r>
        <w:rPr>
          <w:color w:val="000000"/>
          <w:spacing w:val="0"/>
          <w:w w:val="100"/>
          <w:position w:val="0"/>
          <w:shd w:val="clear" w:color="auto" w:fill="auto"/>
          <w:lang w:val="la-001" w:eastAsia="la-001" w:bidi="la-001"/>
        </w:rPr>
        <w:t xml:space="preserve">Syrus, </w:t>
      </w:r>
      <w:r>
        <w:rPr>
          <w:color w:val="000000"/>
          <w:spacing w:val="0"/>
          <w:w w:val="100"/>
          <w:position w:val="0"/>
          <w:shd w:val="clear" w:color="auto" w:fill="auto"/>
          <w:lang w:val="en-US" w:eastAsia="en-US" w:bidi="en-US"/>
        </w:rPr>
        <w:t>Epiphanius, and the later Syrians,@@</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but we have recently become possessed of large portions of it, and are now in a position to form for ourselves an idea of its character and plan. In 1877 there was published@@</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a Latin translation, by Aucher the Mechitarist, of Ephraem’s gospel commentary, which had been pre</w:t>
        <w:softHyphen/>
        <w:t xml:space="preserve">served in Armenian, and it then became apparent that Ephraem had taken the </w:t>
      </w:r>
      <w:r>
        <w:rPr>
          <w:i/>
          <w:iCs/>
          <w:color w:val="000000"/>
          <w:spacing w:val="0"/>
          <w:w w:val="100"/>
          <w:position w:val="0"/>
          <w:shd w:val="clear" w:color="auto" w:fill="auto"/>
          <w:lang w:val="en-US" w:eastAsia="en-US" w:bidi="en-US"/>
        </w:rPr>
        <w:t>Diatessaron</w:t>
      </w:r>
      <w:r>
        <w:rPr>
          <w:color w:val="000000"/>
          <w:spacing w:val="0"/>
          <w:w w:val="100"/>
          <w:position w:val="0"/>
          <w:shd w:val="clear" w:color="auto" w:fill="auto"/>
          <w:lang w:val="en-US" w:eastAsia="en-US" w:bidi="en-US"/>
        </w:rPr>
        <w:t xml:space="preserve"> as his basis. This led to further research.@@</w:t>
      </w:r>
      <w:r>
        <w:rPr>
          <w:color w:val="000000"/>
          <w:spacing w:val="0"/>
          <w:w w:val="100"/>
          <w:position w:val="0"/>
          <w:shd w:val="clear" w:color="auto" w:fill="auto"/>
          <w:vertAlign w:val="superscript"/>
          <w:lang w:val="en-US" w:eastAsia="en-US" w:bidi="en-US"/>
        </w:rPr>
        <w:t xml:space="preserve">5 </w:t>
      </w:r>
      <w:r>
        <w:rPr>
          <w:color w:val="000000"/>
          <w:spacing w:val="0"/>
          <w:w w:val="100"/>
          <w:position w:val="0"/>
          <w:shd w:val="clear" w:color="auto" w:fill="auto"/>
          <w:lang w:val="en-US" w:eastAsia="en-US" w:bidi="en-US"/>
        </w:rPr>
        <w:t xml:space="preserve">Recognizing with other scholars that other Syrian writers also, down to the middle of the 4th century, had used the </w:t>
      </w:r>
      <w:r>
        <w:rPr>
          <w:i/>
          <w:iCs/>
          <w:color w:val="000000"/>
          <w:spacing w:val="0"/>
          <w:w w:val="100"/>
          <w:position w:val="0"/>
          <w:shd w:val="clear" w:color="auto" w:fill="auto"/>
          <w:lang w:val="en-US" w:eastAsia="en-US" w:bidi="en-US"/>
        </w:rPr>
        <w:t xml:space="preserve">Diatessaron </w:t>
      </w:r>
      <w:r>
        <w:rPr>
          <w:color w:val="000000"/>
          <w:spacing w:val="0"/>
          <w:w w:val="100"/>
          <w:position w:val="0"/>
          <w:shd w:val="clear" w:color="auto" w:fill="auto"/>
          <w:lang w:val="en-US" w:eastAsia="en-US" w:bidi="en-US"/>
        </w:rPr>
        <w:t>(Theodoret tells us that in his diocese alone he caused more than 300 copies to be withdrawn from use), Zahn undertook the labo</w:t>
        <w:softHyphen/>
        <w:t>rious task of restoring the work with the help of Ephraem’s com</w:t>
        <w:softHyphen/>
        <w:t>mentary and other sources.@@</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In details much of what Zalin has given as belonging to the text of the </w:t>
      </w:r>
      <w:r>
        <w:rPr>
          <w:i/>
          <w:iCs/>
          <w:color w:val="000000"/>
          <w:spacing w:val="0"/>
          <w:w w:val="100"/>
          <w:position w:val="0"/>
          <w:shd w:val="clear" w:color="auto" w:fill="auto"/>
          <w:lang w:val="en-US" w:eastAsia="en-US" w:bidi="en-US"/>
        </w:rPr>
        <w:t>Diatessaron</w:t>
      </w:r>
      <w:r>
        <w:rPr>
          <w:color w:val="000000"/>
          <w:spacing w:val="0"/>
          <w:w w:val="100"/>
          <w:position w:val="0"/>
          <w:shd w:val="clear" w:color="auto" w:fill="auto"/>
          <w:lang w:val="en-US" w:eastAsia="en-US" w:bidi="en-US"/>
        </w:rPr>
        <w:t xml:space="preserve"> remains problem</w:t>
        <w:softHyphen/>
        <w:t xml:space="preserve">atical,—in particular he has not been sufficiently careful in his examination of the work of Aphraates,—but in all the main points his restoration has been successful. The rediscovery of such a work is in a variety of ways of the very highest importance for the early history of Christianity. (1) It is of interest for the history of the canon. It shows that in Tatian’s time there was still no recognized New Testament canon, and that the texts of the Gospels were not regarded as inspired. He could not possibly have treated them with such freedom had they been held to be otherwise. But the ecclesiastical use made of his work in Syria shows that Tatian intended it for the church, and, as we are informed further by Eusebius that Tatian also edited the Pauline epistles, we are entitled to conclude that, like Marcion, he wished to frame a special New Testament canon. (2) It is of importance for the Gospels as we now have them. We learn from the </w:t>
      </w:r>
      <w:r>
        <w:rPr>
          <w:i/>
          <w:iCs/>
          <w:color w:val="000000"/>
          <w:spacing w:val="0"/>
          <w:w w:val="100"/>
          <w:position w:val="0"/>
          <w:shd w:val="clear" w:color="auto" w:fill="auto"/>
          <w:lang w:val="en-US" w:eastAsia="en-US" w:bidi="en-US"/>
        </w:rPr>
        <w:t>Diatessaron</w:t>
      </w:r>
      <w:r>
        <w:rPr>
          <w:color w:val="000000"/>
          <w:spacing w:val="0"/>
          <w:w w:val="100"/>
          <w:position w:val="0"/>
          <w:shd w:val="clear" w:color="auto" w:fill="auto"/>
          <w:lang w:val="en-US" w:eastAsia="en-US" w:bidi="en-US"/>
        </w:rPr>
        <w:t xml:space="preserve"> that about 160 </w:t>
      </w:r>
      <w:r>
        <w:rPr>
          <w:smallCaps/>
          <w:color w:val="000000"/>
          <w:spacing w:val="0"/>
          <w:w w:val="100"/>
          <w:position w:val="0"/>
          <w:shd w:val="clear" w:color="auto" w:fill="auto"/>
          <w:lang w:val="en-US" w:eastAsia="en-US" w:bidi="en-US"/>
        </w:rPr>
        <w:t>a.d.</w:t>
      </w:r>
      <w:r>
        <w:rPr>
          <w:color w:val="000000"/>
          <w:spacing w:val="0"/>
          <w:w w:val="100"/>
          <w:position w:val="0"/>
          <w:shd w:val="clear" w:color="auto" w:fill="auto"/>
          <w:lang w:val="en-US" w:eastAsia="en-US" w:bidi="en-US"/>
        </w:rPr>
        <w:t xml:space="preserve"> our four Gospels had already taken a place of prominence in the church and that no others had done so ; that in particular the Fourth Gospel had taken a fixed place alongside of the three</w:t>
      </w:r>
    </w:p>
    <w:p>
      <w:pPr>
        <w:pStyle w:val="Style8"/>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author of the </w:t>
      </w:r>
      <w:r>
        <w:rPr>
          <w:i/>
          <w:iCs/>
          <w:color w:val="000000"/>
          <w:spacing w:val="0"/>
          <w:w w:val="100"/>
          <w:position w:val="0"/>
          <w:shd w:val="clear" w:color="auto" w:fill="auto"/>
          <w:lang w:val="en-US" w:eastAsia="en-US" w:bidi="en-US"/>
        </w:rPr>
        <w:t xml:space="preserve">Acta </w:t>
      </w:r>
      <w:r>
        <w:rPr>
          <w:i/>
          <w:iCs/>
          <w:color w:val="000000"/>
          <w:spacing w:val="0"/>
          <w:w w:val="100"/>
          <w:position w:val="0"/>
          <w:shd w:val="clear" w:color="auto" w:fill="auto"/>
          <w:lang w:val="la-001" w:eastAsia="la-001" w:bidi="la-001"/>
        </w:rPr>
        <w:t>Archelai</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treats him as a heretic.</w:t>
      </w:r>
    </w:p>
    <w:p>
      <w:pPr>
        <w:pStyle w:val="Style8"/>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See </w:t>
      </w:r>
      <w:r>
        <w:rPr>
          <w:i/>
          <w:iCs/>
          <w:color w:val="000000"/>
          <w:spacing w:val="0"/>
          <w:w w:val="100"/>
          <w:position w:val="0"/>
          <w:shd w:val="clear" w:color="auto" w:fill="auto"/>
          <w:lang w:val="en-US" w:eastAsia="en-US" w:bidi="en-US"/>
        </w:rPr>
        <w:t xml:space="preserve">Zeitschr. f. d. </w:t>
      </w:r>
      <w:r>
        <w:rPr>
          <w:i/>
          <w:iCs/>
          <w:color w:val="000000"/>
          <w:spacing w:val="0"/>
          <w:w w:val="100"/>
          <w:position w:val="0"/>
          <w:shd w:val="clear" w:color="auto" w:fill="auto"/>
          <w:lang w:val="fr-FR" w:eastAsia="fr-FR" w:bidi="fr-FR"/>
        </w:rPr>
        <w:t xml:space="preserve">luth. </w:t>
      </w:r>
      <w:r>
        <w:rPr>
          <w:i/>
          <w:iCs/>
          <w:color w:val="000000"/>
          <w:spacing w:val="0"/>
          <w:w w:val="100"/>
          <w:position w:val="0"/>
          <w:shd w:val="clear" w:color="auto" w:fill="auto"/>
          <w:lang w:val="en-US" w:eastAsia="en-US" w:bidi="en-US"/>
        </w:rPr>
        <w:t>Theol.,</w:t>
      </w:r>
      <w:r>
        <w:rPr>
          <w:color w:val="000000"/>
          <w:spacing w:val="0"/>
          <w:w w:val="100"/>
          <w:position w:val="0"/>
          <w:shd w:val="clear" w:color="auto" w:fill="auto"/>
          <w:lang w:val="en-US" w:eastAsia="en-US" w:bidi="en-US"/>
        </w:rPr>
        <w:t xml:space="preserve"> 1874 and 1875; </w:t>
      </w:r>
      <w:r>
        <w:rPr>
          <w:i/>
          <w:iCs/>
          <w:color w:val="000000"/>
          <w:spacing w:val="0"/>
          <w:w w:val="100"/>
          <w:position w:val="0"/>
          <w:shd w:val="clear" w:color="auto" w:fill="auto"/>
          <w:lang w:val="en-US" w:eastAsia="en-US" w:bidi="en-US"/>
        </w:rPr>
        <w:t>Zeitschr. f. wiss. Theol.,</w:t>
      </w:r>
      <w:r>
        <w:rPr>
          <w:color w:val="000000"/>
          <w:spacing w:val="0"/>
          <w:w w:val="100"/>
          <w:position w:val="0"/>
          <w:shd w:val="clear" w:color="auto" w:fill="auto"/>
          <w:lang w:val="en-US" w:eastAsia="en-US" w:bidi="en-US"/>
        </w:rPr>
        <w:t xml:space="preserve"> 1877 ; </w:t>
      </w:r>
      <w:r>
        <w:rPr>
          <w:i/>
          <w:iCs/>
          <w:color w:val="000000"/>
          <w:spacing w:val="0"/>
          <w:w w:val="100"/>
          <w:position w:val="0"/>
          <w:shd w:val="clear" w:color="auto" w:fill="auto"/>
          <w:lang w:val="en-US" w:eastAsia="en-US" w:bidi="en-US"/>
        </w:rPr>
        <w:t>Zeitschr. f. Kirchengesch.,</w:t>
      </w:r>
      <w:r>
        <w:rPr>
          <w:color w:val="000000"/>
          <w:spacing w:val="0"/>
          <w:w w:val="100"/>
          <w:position w:val="0"/>
          <w:shd w:val="clear" w:color="auto" w:fill="auto"/>
          <w:lang w:val="en-US" w:eastAsia="en-US" w:bidi="en-US"/>
        </w:rPr>
        <w:t xml:space="preserve"> iii. p. 400.</w:t>
      </w:r>
    </w:p>
    <w:p>
      <w:pPr>
        <w:pStyle w:val="Style8"/>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See Credner, </w:t>
      </w:r>
      <w:r>
        <w:rPr>
          <w:i/>
          <w:iCs/>
          <w:color w:val="000000"/>
          <w:spacing w:val="0"/>
          <w:w w:val="100"/>
          <w:position w:val="0"/>
          <w:shd w:val="clear" w:color="auto" w:fill="auto"/>
          <w:lang w:val="en-US" w:eastAsia="en-US" w:bidi="en-US"/>
        </w:rPr>
        <w:t>Einl.,</w:t>
      </w:r>
      <w:r>
        <w:rPr>
          <w:color w:val="000000"/>
          <w:spacing w:val="0"/>
          <w:w w:val="100"/>
          <w:position w:val="0"/>
          <w:shd w:val="clear" w:color="auto" w:fill="auto"/>
          <w:lang w:val="en-US" w:eastAsia="en-US" w:bidi="en-US"/>
        </w:rPr>
        <w:t xml:space="preserve"> i. 437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 xml:space="preserve"> ; Semisch, </w:t>
      </w:r>
      <w:r>
        <w:rPr>
          <w:i/>
          <w:iCs/>
          <w:color w:val="000000"/>
          <w:spacing w:val="0"/>
          <w:w w:val="100"/>
          <w:position w:val="0"/>
          <w:shd w:val="clear" w:color="auto" w:fill="auto"/>
          <w:lang w:val="en-US" w:eastAsia="en-US" w:bidi="en-US"/>
        </w:rPr>
        <w:t xml:space="preserve">Tatiani Diatessaron, </w:t>
      </w:r>
      <w:r>
        <w:rPr>
          <w:color w:val="000000"/>
          <w:spacing w:val="0"/>
          <w:w w:val="100"/>
          <w:position w:val="0"/>
          <w:shd w:val="clear" w:color="auto" w:fill="auto"/>
          <w:lang w:val="en-US" w:eastAsia="en-US" w:bidi="en-US"/>
        </w:rPr>
        <w:t>1856.</w:t>
      </w:r>
    </w:p>
    <w:p>
      <w:pPr>
        <w:pStyle w:val="Style8"/>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vertAlign w:val="superscript"/>
          <w:lang w:val="en-US" w:eastAsia="en-US" w:bidi="en-US"/>
        </w:rPr>
        <w:t>@@@4</w:t>
      </w:r>
      <w:r>
        <w:rPr>
          <w:i/>
          <w:iCs/>
          <w:color w:val="000000"/>
          <w:spacing w:val="0"/>
          <w:w w:val="100"/>
          <w:position w:val="0"/>
          <w:shd w:val="clear" w:color="auto" w:fill="auto"/>
          <w:lang w:val="en-US" w:eastAsia="en-US" w:bidi="en-US"/>
        </w:rPr>
        <w:t xml:space="preserve"> Evangelii </w:t>
      </w:r>
      <w:r>
        <w:rPr>
          <w:i/>
          <w:iCs/>
          <w:color w:val="000000"/>
          <w:spacing w:val="0"/>
          <w:w w:val="100"/>
          <w:position w:val="0"/>
          <w:shd w:val="clear" w:color="auto" w:fill="auto"/>
          <w:lang w:val="la-001" w:eastAsia="la-001" w:bidi="la-001"/>
        </w:rPr>
        <w:t xml:space="preserve">Concordantis Expositio </w:t>
      </w:r>
      <w:r>
        <w:rPr>
          <w:i/>
          <w:iCs/>
          <w:color w:val="000000"/>
          <w:spacing w:val="0"/>
          <w:w w:val="100"/>
          <w:position w:val="0"/>
          <w:shd w:val="clear" w:color="auto" w:fill="auto"/>
          <w:lang w:val="en-US" w:eastAsia="en-US" w:bidi="en-US"/>
        </w:rPr>
        <w:t>facta a S. Ephraemo,</w:t>
      </w:r>
      <w:r>
        <w:rPr>
          <w:color w:val="000000"/>
          <w:spacing w:val="0"/>
          <w:w w:val="100"/>
          <w:position w:val="0"/>
          <w:shd w:val="clear" w:color="auto" w:fill="auto"/>
          <w:lang w:val="en-US" w:eastAsia="en-US" w:bidi="en-US"/>
        </w:rPr>
        <w:t xml:space="preserve"> Venice.</w:t>
      </w:r>
    </w:p>
    <w:p>
      <w:pPr>
        <w:pStyle w:val="Style8"/>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See Harnack, </w:t>
      </w:r>
      <w:r>
        <w:rPr>
          <w:i/>
          <w:iCs/>
          <w:color w:val="000000"/>
          <w:spacing w:val="0"/>
          <w:w w:val="100"/>
          <w:position w:val="0"/>
          <w:shd w:val="clear" w:color="auto" w:fill="auto"/>
          <w:lang w:val="en-US" w:eastAsia="en-US" w:bidi="en-US"/>
        </w:rPr>
        <w:t>Ztschr. f. Kirchengesch.,</w:t>
      </w:r>
      <w:r>
        <w:rPr>
          <w:color w:val="000000"/>
          <w:spacing w:val="0"/>
          <w:w w:val="100"/>
          <w:position w:val="0"/>
          <w:shd w:val="clear" w:color="auto" w:fill="auto"/>
          <w:lang w:val="en-US" w:eastAsia="en-US" w:bidi="en-US"/>
        </w:rPr>
        <w:t xml:space="preserve"> iv. p. 471 </w:t>
      </w:r>
      <w:r>
        <w:rPr>
          <w:i/>
          <w:iCs/>
          <w:color w:val="000000"/>
          <w:spacing w:val="0"/>
          <w:w w:val="100"/>
          <w:position w:val="0"/>
          <w:shd w:val="clear" w:color="auto" w:fill="auto"/>
          <w:lang w:val="en-US" w:eastAsia="en-US" w:bidi="en-US"/>
        </w:rPr>
        <w:t>sq.</w:t>
      </w:r>
    </w:p>
    <w:p>
      <w:pPr>
        <w:pStyle w:val="Style8"/>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Zahn, </w:t>
      </w:r>
      <w:r>
        <w:rPr>
          <w:i/>
          <w:iCs/>
          <w:color w:val="000000"/>
          <w:spacing w:val="0"/>
          <w:w w:val="100"/>
          <w:position w:val="0"/>
          <w:shd w:val="clear" w:color="auto" w:fill="auto"/>
          <w:lang w:val="en-US" w:eastAsia="en-US" w:bidi="en-US"/>
        </w:rPr>
        <w:t>Tatian’s Diatessaron,</w:t>
      </w:r>
      <w:r>
        <w:rPr>
          <w:color w:val="000000"/>
          <w:spacing w:val="0"/>
          <w:w w:val="100"/>
          <w:position w:val="0"/>
          <w:shd w:val="clear" w:color="auto" w:fill="auto"/>
          <w:lang w:val="en-US" w:eastAsia="en-US" w:bidi="en-US"/>
        </w:rPr>
        <w:t xml:space="preserve"> 1881.</w:t>
      </w:r>
    </w:p>
    <w:sectPr>
      <w:footnotePr>
        <w:pos w:val="pageBottom"/>
        <w:numFmt w:val="decimal"/>
        <w:numRestart w:val="continuous"/>
      </w:footnotePr>
      <w:pgSz w:w="12240" w:h="16840"/>
      <w:pgMar w:top="1599" w:left="1368" w:right="1412" w:bottom="145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9">
    <w:name w:val="Body text (4)_"/>
    <w:basedOn w:val="DefaultParagraphFont"/>
    <w:link w:val="Style8"/>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8">
    <w:name w:val="Body text (4)"/>
    <w:basedOn w:val="Normal"/>
    <w:link w:val="CharStyle9"/>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