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140"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Almighty God. The Larceny Act of 1861 punishes the breaking into, or out of, a place of divine worship in the same way as burglary, and the theft of things sacred in the same way as larceny. Now by the Malicious Damage Act 1861 the unlawful and malicious destroying or damaging any picture, statue, monument or other memorial of the dead, painted glass or other monument or work of art, in any church, chapel, meeting-place or other place of divine worship is a misdemeanour punishable by imprisonment for six months, and in the case of a male under the age of sixteen years with whipping.</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7"/>
          <w:szCs w:val="17"/>
          <w:shd w:val="clear" w:color="auto" w:fill="auto"/>
          <w:lang w:val="en-US" w:eastAsia="en-US" w:bidi="en-US"/>
        </w:rPr>
        <w:t>A. 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SACRISTY (through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sacristie,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med. 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sacristia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sacristina),</w:t>
      </w:r>
      <w:r>
        <w:rPr>
          <w:rFonts w:ascii="Times New Roman" w:eastAsia="Times New Roman" w:hAnsi="Times New Roman" w:cs="Times New Roman"/>
          <w:color w:val="000000"/>
          <w:spacing w:val="0"/>
          <w:w w:val="100"/>
          <w:position w:val="0"/>
          <w:shd w:val="clear" w:color="auto" w:fill="auto"/>
          <w:lang w:val="en-US" w:eastAsia="en-US" w:bidi="en-US"/>
        </w:rPr>
        <w:t xml:space="preserve"> the term in ecclesiastical architecture given to the room or hall in a large church wherein are kept the vestments and utensils (</w:t>
      </w:r>
      <w:r>
        <w:rPr>
          <w:rFonts w:ascii="Times New Roman" w:eastAsia="Times New Roman" w:hAnsi="Times New Roman" w:cs="Times New Roman"/>
          <w:i/>
          <w:iCs/>
          <w:color w:val="000000"/>
          <w:spacing w:val="0"/>
          <w:w w:val="100"/>
          <w:position w:val="0"/>
          <w:shd w:val="clear" w:color="auto" w:fill="auto"/>
          <w:lang w:val="en-US" w:eastAsia="en-US" w:bidi="en-US"/>
        </w:rPr>
        <w:t>sacra</w:t>
      </w:r>
      <w:r>
        <w:rPr>
          <w:rFonts w:ascii="Times New Roman" w:eastAsia="Times New Roman" w:hAnsi="Times New Roman" w:cs="Times New Roman"/>
          <w:color w:val="000000"/>
          <w:spacing w:val="0"/>
          <w:w w:val="100"/>
          <w:position w:val="0"/>
          <w:shd w:val="clear" w:color="auto" w:fill="auto"/>
          <w:lang w:val="en-US" w:eastAsia="en-US" w:bidi="en-US"/>
        </w:rPr>
        <w:t xml:space="preserve">) used in the services and celebrations. Like the </w:t>
      </w:r>
      <w:r>
        <w:rPr>
          <w:rFonts w:ascii="Times New Roman" w:eastAsia="Times New Roman" w:hAnsi="Times New Roman" w:cs="Times New Roman"/>
          <w:i/>
          <w:iCs/>
          <w:color w:val="000000"/>
          <w:spacing w:val="0"/>
          <w:w w:val="100"/>
          <w:position w:val="0"/>
          <w:shd w:val="clear" w:color="auto" w:fill="auto"/>
          <w:lang w:val="en-US" w:eastAsia="en-US" w:bidi="en-US"/>
        </w:rPr>
        <w:t>diaconicon</w:t>
      </w:r>
      <w:r>
        <w:rPr>
          <w:rFonts w:ascii="Times New Roman" w:eastAsia="Times New Roman" w:hAnsi="Times New Roman" w:cs="Times New Roman"/>
          <w:color w:val="000000"/>
          <w:spacing w:val="0"/>
          <w:w w:val="100"/>
          <w:position w:val="0"/>
          <w:shd w:val="clear" w:color="auto" w:fill="auto"/>
          <w:lang w:val="en-US" w:eastAsia="en-US" w:bidi="en-US"/>
        </w:rPr>
        <w:t xml:space="preserve"> in the Greek Church, it was usually situated on the north side of the chancel, but its position varies according to that of the chapter-house, as it is generally placed between the latter and the church.</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SACRO </w:t>
      </w:r>
      <w:r>
        <w:rPr>
          <w:rFonts w:ascii="Times New Roman" w:eastAsia="Times New Roman" w:hAnsi="Times New Roman" w:cs="Times New Roman"/>
          <w:color w:val="000000"/>
          <w:spacing w:val="0"/>
          <w:w w:val="100"/>
          <w:position w:val="0"/>
          <w:sz w:val="38"/>
          <w:szCs w:val="38"/>
          <w:shd w:val="clear" w:color="auto" w:fill="auto"/>
          <w:lang w:val="fr-FR" w:eastAsia="fr-FR" w:bidi="fr-FR"/>
        </w:rPr>
        <w:t xml:space="preserve">BOSCO, </w:t>
      </w:r>
      <w:r>
        <w:rPr>
          <w:rFonts w:ascii="Times New Roman" w:eastAsia="Times New Roman" w:hAnsi="Times New Roman" w:cs="Times New Roman"/>
          <w:color w:val="000000"/>
          <w:spacing w:val="0"/>
          <w:w w:val="100"/>
          <w:position w:val="0"/>
          <w:sz w:val="38"/>
          <w:szCs w:val="38"/>
          <w:shd w:val="clear" w:color="auto" w:fill="auto"/>
          <w:lang w:val="de-DE" w:eastAsia="de-DE" w:bidi="de-DE"/>
        </w:rPr>
        <w:t xml:space="preserve">JOHANNES </w:t>
      </w:r>
      <w:r>
        <w:rPr>
          <w:rFonts w:ascii="Times New Roman" w:eastAsia="Times New Roman" w:hAnsi="Times New Roman" w:cs="Times New Roman"/>
          <w:color w:val="000000"/>
          <w:spacing w:val="0"/>
          <w:w w:val="100"/>
          <w:position w:val="0"/>
          <w:sz w:val="38"/>
          <w:szCs w:val="38"/>
          <w:shd w:val="clear" w:color="auto" w:fill="auto"/>
          <w:lang w:val="fr-FR" w:eastAsia="fr-FR" w:bidi="fr-FR"/>
        </w:rPr>
        <w:t xml:space="preserve">DE </w:t>
      </w:r>
      <w:r>
        <w:rPr>
          <w:rFonts w:ascii="Times New Roman" w:eastAsia="Times New Roman" w:hAnsi="Times New Roman" w:cs="Times New Roman"/>
          <w:smallCaps/>
          <w:color w:val="000000"/>
          <w:spacing w:val="0"/>
          <w:w w:val="100"/>
          <w:position w:val="0"/>
          <w:shd w:val="clear" w:color="auto" w:fill="auto"/>
          <w:lang w:val="en-US" w:eastAsia="en-US" w:bidi="en-US"/>
        </w:rPr>
        <w:t>[John HolywooD]</w:t>
      </w:r>
      <w:r>
        <w:rPr>
          <w:rFonts w:ascii="Times New Roman" w:eastAsia="Times New Roman" w:hAnsi="Times New Roman" w:cs="Times New Roman"/>
          <w:color w:val="000000"/>
          <w:spacing w:val="0"/>
          <w:w w:val="100"/>
          <w:position w:val="0"/>
          <w:shd w:val="clear" w:color="auto" w:fill="auto"/>
          <w:lang w:val="en-US" w:eastAsia="en-US" w:bidi="en-US"/>
        </w:rPr>
        <w:t xml:space="preserve"> (d. 1244 or 1256), astronomical author, studied at Oxford and was afterwards professor of mathematics at the university of Paris. He wrote a treatise on spherical astronomy,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Tractatus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sphaera, </w:t>
      </w:r>
      <w:r>
        <w:rPr>
          <w:rFonts w:ascii="Times New Roman" w:eastAsia="Times New Roman" w:hAnsi="Times New Roman" w:cs="Times New Roman"/>
          <w:color w:val="000000"/>
          <w:spacing w:val="0"/>
          <w:w w:val="100"/>
          <w:position w:val="0"/>
          <w:shd w:val="clear" w:color="auto" w:fill="auto"/>
          <w:lang w:val="en-US" w:eastAsia="en-US" w:bidi="en-US"/>
        </w:rPr>
        <w:t xml:space="preserve">first printed at Ferrara in 1472. This was the second astro- nomical work to be printed. Although recording no advance on the Arabian commentaries on Ptolemy, it gained a great reputa- tion; twenty-four editions appeared before 1500, and at least forty between 1500 and 1647, in which year the last edition was published at Leiden. About the year 1232 he wrote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anni ratione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computo ecclesiastico</w:t>
      </w:r>
      <w:r>
        <w:rPr>
          <w:rFonts w:ascii="Times New Roman" w:eastAsia="Times New Roman" w:hAnsi="Times New Roman" w:cs="Times New Roman"/>
          <w:color w:val="000000"/>
          <w:spacing w:val="0"/>
          <w:w w:val="100"/>
          <w:position w:val="0"/>
          <w:shd w:val="clear" w:color="auto" w:fill="auto"/>
          <w:lang w:val="en-US" w:eastAsia="en-US" w:bidi="en-US"/>
        </w:rPr>
        <w:t xml:space="preserve"> (printed editions at Paris in 1538 (?), 1550, 1572 and at Antwerp in 1547 and 1566), in which he points out the increasing error of the Julian calendar, and suggests a remedy which is nearly the same as that actually used under Gregory XIII. three hundred and fifty years later.</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also wrote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Algorismus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arte numerandi,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printed in 1490 (?), in 1517 (Vienna), 1521 (Cracow), 1523 (Venice);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astrolabio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Breυiarum juris.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SADDLE (a word common to Teutonic languages, cf. Ger. </w:t>
      </w:r>
      <w:r>
        <w:rPr>
          <w:rFonts w:ascii="Times New Roman" w:eastAsia="Times New Roman" w:hAnsi="Times New Roman" w:cs="Times New Roman"/>
          <w:i/>
          <w:iCs/>
          <w:color w:val="000000"/>
          <w:spacing w:val="0"/>
          <w:w w:val="100"/>
          <w:position w:val="0"/>
          <w:shd w:val="clear" w:color="auto" w:fill="auto"/>
          <w:lang w:val="de-DE" w:eastAsia="de-DE" w:bidi="de-DE"/>
        </w:rPr>
        <w:t>Sattel,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Dut. </w:t>
      </w:r>
      <w:r>
        <w:rPr>
          <w:rFonts w:ascii="Times New Roman" w:eastAsia="Times New Roman" w:hAnsi="Times New Roman" w:cs="Times New Roman"/>
          <w:i/>
          <w:iCs/>
          <w:color w:val="000000"/>
          <w:spacing w:val="0"/>
          <w:w w:val="100"/>
          <w:position w:val="0"/>
          <w:shd w:val="clear" w:color="auto" w:fill="auto"/>
          <w:lang w:val="en-US" w:eastAsia="en-US" w:bidi="en-US"/>
        </w:rPr>
        <w:t>zadel,</w:t>
      </w:r>
      <w:r>
        <w:rPr>
          <w:rFonts w:ascii="Times New Roman" w:eastAsia="Times New Roman" w:hAnsi="Times New Roman" w:cs="Times New Roman"/>
          <w:color w:val="000000"/>
          <w:spacing w:val="0"/>
          <w:w w:val="100"/>
          <w:position w:val="0"/>
          <w:shd w:val="clear" w:color="auto" w:fill="auto"/>
          <w:lang w:val="en-US" w:eastAsia="en-US" w:bidi="en-US"/>
        </w:rPr>
        <w:t xml:space="preserve"> also in Russ. </w:t>
      </w:r>
      <w:r>
        <w:rPr>
          <w:rFonts w:ascii="Times New Roman" w:eastAsia="Times New Roman" w:hAnsi="Times New Roman" w:cs="Times New Roman"/>
          <w:i/>
          <w:iCs/>
          <w:color w:val="000000"/>
          <w:spacing w:val="0"/>
          <w:w w:val="100"/>
          <w:position w:val="0"/>
          <w:shd w:val="clear" w:color="auto" w:fill="auto"/>
          <w:lang w:val="en-US" w:eastAsia="en-US" w:bidi="en-US"/>
        </w:rPr>
        <w:t>siedlo</w:t>
      </w:r>
      <w:r>
        <w:rPr>
          <w:rFonts w:ascii="Times New Roman" w:eastAsia="Times New Roman" w:hAnsi="Times New Roman" w:cs="Times New Roman"/>
          <w:color w:val="000000"/>
          <w:spacing w:val="0"/>
          <w:w w:val="100"/>
          <w:position w:val="0"/>
          <w:shd w:val="clear" w:color="auto" w:fill="auto"/>
          <w:lang w:val="en-US" w:eastAsia="en-US" w:bidi="en-US"/>
        </w:rPr>
        <w:t xml:space="preserve"> and Lat. </w:t>
      </w:r>
      <w:r>
        <w:rPr>
          <w:rFonts w:ascii="Times New Roman" w:eastAsia="Times New Roman" w:hAnsi="Times New Roman" w:cs="Times New Roman"/>
          <w:i/>
          <w:iCs/>
          <w:color w:val="000000"/>
          <w:spacing w:val="0"/>
          <w:w w:val="100"/>
          <w:position w:val="0"/>
          <w:shd w:val="clear" w:color="auto" w:fill="auto"/>
          <w:lang w:val="en-US" w:eastAsia="en-US" w:bidi="en-US"/>
        </w:rPr>
        <w:t>sella,</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sedla; </w:t>
      </w:r>
      <w:r>
        <w:rPr>
          <w:rFonts w:ascii="Times New Roman" w:eastAsia="Times New Roman" w:hAnsi="Times New Roman" w:cs="Times New Roman"/>
          <w:color w:val="000000"/>
          <w:spacing w:val="0"/>
          <w:w w:val="100"/>
          <w:position w:val="0"/>
          <w:shd w:val="clear" w:color="auto" w:fill="auto"/>
          <w:lang w:val="en-US" w:eastAsia="en-US" w:bidi="en-US"/>
        </w:rPr>
        <w:t xml:space="preserve">it is not derived directly from Lat. </w:t>
      </w:r>
      <w:r>
        <w:rPr>
          <w:rFonts w:ascii="Times New Roman" w:eastAsia="Times New Roman" w:hAnsi="Times New Roman" w:cs="Times New Roman"/>
          <w:i/>
          <w:iCs/>
          <w:color w:val="000000"/>
          <w:spacing w:val="0"/>
          <w:w w:val="100"/>
          <w:position w:val="0"/>
          <w:shd w:val="clear" w:color="auto" w:fill="auto"/>
          <w:lang w:val="en-US" w:eastAsia="en-US" w:bidi="en-US"/>
        </w:rPr>
        <w:t>sedile,</w:t>
      </w:r>
      <w:r>
        <w:rPr>
          <w:rFonts w:ascii="Times New Roman" w:eastAsia="Times New Roman" w:hAnsi="Times New Roman" w:cs="Times New Roman"/>
          <w:color w:val="000000"/>
          <w:spacing w:val="0"/>
          <w:w w:val="100"/>
          <w:position w:val="0"/>
          <w:shd w:val="clear" w:color="auto" w:fill="auto"/>
          <w:lang w:val="en-US" w:eastAsia="en-US" w:bidi="en-US"/>
        </w:rPr>
        <w:t xml:space="preserve"> which means a chair, but all the words are to be referred to the root </w:t>
      </w:r>
      <w:r>
        <w:rPr>
          <w:rFonts w:ascii="Times New Roman" w:eastAsia="Times New Roman" w:hAnsi="Times New Roman" w:cs="Times New Roman"/>
          <w:i/>
          <w:iCs/>
          <w:color w:val="000000"/>
          <w:spacing w:val="0"/>
          <w:w w:val="100"/>
          <w:position w:val="0"/>
          <w:shd w:val="clear" w:color="auto" w:fill="auto"/>
          <w:lang w:val="en-US" w:eastAsia="en-US" w:bidi="en-US"/>
        </w:rPr>
        <w:t>sad-,</w:t>
      </w:r>
      <w:r>
        <w:rPr>
          <w:rFonts w:ascii="Times New Roman" w:eastAsia="Times New Roman" w:hAnsi="Times New Roman" w:cs="Times New Roman"/>
          <w:color w:val="000000"/>
          <w:spacing w:val="0"/>
          <w:w w:val="100"/>
          <w:position w:val="0"/>
          <w:shd w:val="clear" w:color="auto" w:fill="auto"/>
          <w:lang w:val="en-US" w:eastAsia="en-US" w:bidi="en-US"/>
        </w:rPr>
        <w:t xml:space="preserve"> which gives Lat. </w:t>
      </w:r>
      <w:r>
        <w:rPr>
          <w:rFonts w:ascii="Times New Roman" w:eastAsia="Times New Roman" w:hAnsi="Times New Roman" w:cs="Times New Roman"/>
          <w:i/>
          <w:iCs/>
          <w:color w:val="000000"/>
          <w:spacing w:val="0"/>
          <w:w w:val="100"/>
          <w:position w:val="0"/>
          <w:shd w:val="clear" w:color="auto" w:fill="auto"/>
          <w:lang w:val="en-US" w:eastAsia="en-US" w:bidi="en-US"/>
        </w:rPr>
        <w:t>sedere,</w:t>
      </w:r>
      <w:r>
        <w:rPr>
          <w:rFonts w:ascii="Times New Roman" w:eastAsia="Times New Roman" w:hAnsi="Times New Roman" w:cs="Times New Roman"/>
          <w:color w:val="000000"/>
          <w:spacing w:val="0"/>
          <w:w w:val="100"/>
          <w:position w:val="0"/>
          <w:shd w:val="clear" w:color="auto" w:fill="auto"/>
          <w:lang w:val="en-US" w:eastAsia="en-US" w:bidi="en-US"/>
        </w:rPr>
        <w:t xml:space="preserve"> Eng. “ sit,” “ settle,” “ seat,” &amp;c.), a seat, usually of leather, fixed by girths to the back of a horse for riding; also a padded cushion for the back of a draught horse, fastened by girths and crupper; to it are attached the supports for the shafts, and rings for the reins (see </w:t>
      </w:r>
      <w:r>
        <w:rPr>
          <w:rFonts w:ascii="Times New Roman" w:eastAsia="Times New Roman" w:hAnsi="Times New Roman" w:cs="Times New Roman"/>
          <w:smallCaps/>
          <w:color w:val="000000"/>
          <w:spacing w:val="0"/>
          <w:w w:val="100"/>
          <w:position w:val="0"/>
          <w:shd w:val="clear" w:color="auto" w:fill="auto"/>
          <w:lang w:val="en-US" w:eastAsia="en-US" w:bidi="en-US"/>
        </w:rPr>
        <w:t>Saddlery).</w:t>
      </w:r>
      <w:r>
        <w:rPr>
          <w:rFonts w:ascii="Times New Roman" w:eastAsia="Times New Roman" w:hAnsi="Times New Roman" w:cs="Times New Roman"/>
          <w:color w:val="000000"/>
          <w:spacing w:val="0"/>
          <w:w w:val="100"/>
          <w:position w:val="0"/>
          <w:shd w:val="clear" w:color="auto" w:fill="auto"/>
          <w:lang w:val="en-US" w:eastAsia="en-US" w:bidi="en-US"/>
        </w:rPr>
        <w:t xml:space="preserve"> The word is also applied to many objects resembling a saddle in shape or function, such as a block to support a spar in a ship, or in machinery to support a rod, or in masonry </w:t>
      </w:r>
      <w:r>
        <w:rPr>
          <w:rFonts w:ascii="Times New Roman" w:eastAsia="Times New Roman" w:hAnsi="Times New Roman" w:cs="Times New Roman"/>
          <w:i/>
          <w:iCs/>
          <w:color w:val="000000"/>
          <w:spacing w:val="0"/>
          <w:w w:val="100"/>
          <w:position w:val="0"/>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 xml:space="preserve"> the top or “ apex stone ” of the gable of a roof, &amp;c.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Saddle bars,</w:t>
      </w:r>
      <w:r>
        <w:rPr>
          <w:rFonts w:ascii="Times New Roman" w:eastAsia="Times New Roman" w:hAnsi="Times New Roman" w:cs="Times New Roman"/>
          <w:color w:val="000000"/>
          <w:spacing w:val="0"/>
          <w:w w:val="100"/>
          <w:position w:val="0"/>
          <w:shd w:val="clear" w:color="auto" w:fill="auto"/>
          <w:lang w:val="en-US" w:eastAsia="en-US" w:bidi="en-US"/>
        </w:rPr>
        <w:t xml:space="preserve"> in architecture (Fr. </w:t>
      </w:r>
      <w:r>
        <w:rPr>
          <w:rFonts w:ascii="Times New Roman" w:eastAsia="Times New Roman" w:hAnsi="Times New Roman" w:cs="Times New Roman"/>
          <w:i/>
          <w:iCs/>
          <w:color w:val="000000"/>
          <w:spacing w:val="0"/>
          <w:w w:val="100"/>
          <w:position w:val="0"/>
          <w:shd w:val="clear" w:color="auto" w:fill="auto"/>
          <w:lang w:val="en-US" w:eastAsia="en-US" w:bidi="en-US"/>
        </w:rPr>
        <w:t>traverses),</w:t>
      </w:r>
      <w:r>
        <w:rPr>
          <w:rFonts w:ascii="Times New Roman" w:eastAsia="Times New Roman" w:hAnsi="Times New Roman" w:cs="Times New Roman"/>
          <w:color w:val="000000"/>
          <w:spacing w:val="0"/>
          <w:w w:val="100"/>
          <w:position w:val="0"/>
          <w:shd w:val="clear" w:color="auto" w:fill="auto"/>
          <w:lang w:val="en-US" w:eastAsia="en-US" w:bidi="en-US"/>
        </w:rPr>
        <w:t xml:space="preserve"> are narrow horizontal iron bars passing from mullion to mullion, and often through the whole window from side to side, to steady the stone work, and to form stays, to which the lead work is secured. When the bays of the windows are wide, the lead lights are further strengthened by upright bars, passing through eyes forged on the saddle bars, and called stanchions. When saddle bars pass right through the mullions in one piece, and are secured to the jambs, they have sometimes been called “ </w:t>
      </w:r>
      <w:r>
        <w:rPr>
          <w:rFonts w:ascii="Times New Roman" w:eastAsia="Times New Roman" w:hAnsi="Times New Roman" w:cs="Times New Roman"/>
          <w:i/>
          <w:iCs/>
          <w:color w:val="000000"/>
          <w:spacing w:val="0"/>
          <w:w w:val="100"/>
          <w:position w:val="0"/>
          <w:shd w:val="clear" w:color="auto" w:fill="auto"/>
          <w:lang w:val="en-US" w:eastAsia="en-US" w:bidi="en-US"/>
        </w:rPr>
        <w:t>stay bars.”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SADDLERY and HARNESS, two terms which embrace the whole equipment for the horse when used for riding or driving. “ Harness ” (O. </w:t>
      </w:r>
      <w:r>
        <w:rPr>
          <w:rFonts w:ascii="Times New Roman" w:eastAsia="Times New Roman" w:hAnsi="Times New Roman" w:cs="Times New Roman"/>
          <w:color w:val="000000"/>
          <w:spacing w:val="0"/>
          <w:w w:val="100"/>
          <w:position w:val="0"/>
          <w:shd w:val="clear" w:color="auto" w:fill="auto"/>
          <w:lang w:val="de-DE" w:eastAsia="de-DE" w:bidi="de-DE"/>
        </w:rPr>
        <w:t xml:space="preserve">Fr. </w:t>
      </w:r>
      <w:r>
        <w:rPr>
          <w:rFonts w:ascii="Times New Roman" w:eastAsia="Times New Roman" w:hAnsi="Times New Roman" w:cs="Times New Roman"/>
          <w:i/>
          <w:iCs/>
          <w:color w:val="000000"/>
          <w:spacing w:val="0"/>
          <w:w w:val="100"/>
          <w:position w:val="0"/>
          <w:shd w:val="clear" w:color="auto" w:fill="auto"/>
          <w:lang w:val="en-US" w:eastAsia="en-US" w:bidi="en-US"/>
        </w:rPr>
        <w:t>harneis,</w:t>
      </w:r>
      <w:r>
        <w:rPr>
          <w:rFonts w:ascii="Times New Roman" w:eastAsia="Times New Roman" w:hAnsi="Times New Roman" w:cs="Times New Roman"/>
          <w:color w:val="000000"/>
          <w:spacing w:val="0"/>
          <w:w w:val="100"/>
          <w:position w:val="0"/>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hd w:val="clear" w:color="auto" w:fill="auto"/>
          <w:lang w:val="fr-FR" w:eastAsia="fr-FR" w:bidi="fr-FR"/>
        </w:rPr>
        <w:t>harnais,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Harnisch,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unknown origin) was originally a general term for equipment,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body armour of a soldier. It is now usually confined to the draught horse’s equipment, “ saddle and bridle ” being used of that of the riding horse.</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Saddlery is principally a leather trade, and the craft has been established in England as a separate trade since the 13th century, when the London Saddlers’ Company received its charter from Edward I. There is evidence also of its early prosperity at Birmingham ; the principal seat of the cheaper saddlery trade is now at Walsall. Saddler’s ironmongery embraces the making of buckles, chains, stirrups, spurs, bits, hames, &amp;c.</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 bridle ” (O.E.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bridet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brigdel,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bregdan,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pull) is the combination of straps and buckles which fits on the horse's head, the headstall, together with the bit and reins which it keeps in position. The headstall consists of the headpiece passing behind the ears and joining the head-band over the forehead ; the cheek-straps run down</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head to the bit to which they are fastened; in the driving bridle the “ blinkers,” rectangular or round leather flaps which prevent the horse from seeing anything except what lies in front, are attached to the cheek-straps; the nose-band passes round the head above the nostrils and the throat-lash from the top of the cheek-straps underneath the head. The “ martingale ” passes between the horse’s legs with one end fastened to the girth and the other to the bridle or nose- band. It prevents the horse throwing up his head. The bit is the metal contrivance inserted in the mouth to which the reins are attached. There are innumerable patterns of bits, but they may be divided into the “ snaffle ” (Du.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snaυel,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horse’s muzzle), the “ curb ” and combinations of the two. The “ snaffle ” for the riding horse has a smooth jointed steel mouthpiece, with straight cheek-bars, the rings for the reins and cheek-pieces of the headstall being fixed in the bars at the junction with the mouthpiece. A severer snaffle has the mouthpiece twisted and fluted. The bars prevent the horse pulling the bit through the mouth. The snaffle without bars is generally termed a “ bridoon.” The commonest form of bit used in driving is the double-ring snaffle, in which the rings work one within the other, the headstall straps fastening to one and the reins to the other, or, if the horse is driven on the double ring, the reins are buckled to both rings. The curb-bit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courbe,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curυus,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bent, crooked) is one to which a curb-chain or strap is attached, fastened to hooks on the upper ends of the cheek-bars of the bit and passing under the horse’s lower jaw in the chin groove. The reins are attached to rings at the lower ends of the cheek-bars, the leverage thus pressing the curb-chain against the jaw. The mouthpiece of the curb-bit is unjointed and has in the centre a “ port,”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raised curve allowing liberty for the tongue and bringing the pressure on the base of the horse’s jaw. The curb-bit and the bridoon can be used together with separate headstalls and reins, but there are many combination bits, such as the Pelham. In this the mouthpiece, without port, is that of the snaffle bit (it may be unjointed), with the rings fixed at the junction of the mouthpiece and cheek-bars; the lower ends have rein rings as in the plain curb-bit.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riding saddle is composed of the “ tree,” the framework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skeleton, the parts of which are the pommel or head, the projection which fits over the withers, and the side bars which curve round into the cantle or hind-bow. The tree in the best saddles is made of beech wood split with the grain ; thin canvas is glued over the wood to prevent splitting, and iron or steel plates then riveted on the head and on the cantle. Linen webs are fastened lengthwise and across, over which is nailed canvas and serge between which the padding is stuffed. To the tree are fastened the stirrup-bars. The leather covering of the tree should be of pig-skin ; cheap saddles are made of sheep-skin stamped to imitate pig-skin. The various parts of the man’s saddle are the seat, the skirt,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fold or pad of leather on either side of the head, and the hanging flaps ; knee-rolls are not used as much as they were, except where roughly broken-in horses are ridden. The saddle is cut straight over the withers with a square- ended cantle, as in the hunting saddle, or cut back over the withers with a round-ended cantle, as in the polo saddle. The saddles in use on the continent of Europe still retain the high pommel and cantle and heavy knee-rolls discarded by riders trained in the British school and the hunting-field. The saddles of the East and of the Arabs keep their primitive shape, and they are really seats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rather than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the rider sits. The Mexican saddle, with its silver adornments and embossed leather, is a characteristic type. It has a very high padded pommel and a round-headed projecting cantle.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lady’s side-saddle when first fully developed had two heads or pommels, between which the right leg was supported, the support for the left being the stirrup. The third pommel or “ leaping head,” against which the left leg rests, was, it is said, invented as the result of a match between two gentlemen riders to ride a steeplechase on side-saddles; the winner had provided himself this support for his left leg. At first the “ leaping head ” was only used in the</w:t>
      </w:r>
    </w:p>
    <w:sectPr>
      <w:footnotePr>
        <w:pos w:val="pageBottom"/>
        <w:numFmt w:val="decimal"/>
        <w:numRestart w:val="continuous"/>
      </w:footnotePr>
      <w:pgSz w:w="12240" w:h="15840"/>
      <w:pgMar w:top="1036" w:left="908" w:right="973"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