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following this, and written only four years later, in 1835, is the article of a critic, and takes the points of objection, seizes the weak side of </w:t>
      </w:r>
      <w:r>
        <w:rPr>
          <w:rFonts w:ascii="Arial" w:eastAsia="Arial" w:hAnsi="Arial" w:cs="Arial"/>
          <w:color w:val="000000"/>
          <w:spacing w:val="0"/>
          <w:w w:val="100"/>
          <w:position w:val="0"/>
          <w:sz w:val="18"/>
          <w:szCs w:val="18"/>
          <w:shd w:val="clear" w:color="auto" w:fill="auto"/>
          <w:lang w:val="en-US" w:eastAsia="en-US" w:bidi="en-US"/>
        </w:rPr>
        <w:t xml:space="preserve">Victor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Hugo's poetry, how much it has of what is “ </w:t>
      </w:r>
      <w:r>
        <w:rPr>
          <w:rFonts w:ascii="Times New Roman" w:eastAsia="Times New Roman" w:hAnsi="Times New Roman" w:cs="Times New Roman"/>
          <w:color w:val="000000"/>
          <w:spacing w:val="0"/>
          <w:w w:val="100"/>
          <w:position w:val="0"/>
          <w:sz w:val="17"/>
          <w:szCs w:val="17"/>
          <w:shd w:val="clear" w:color="auto" w:fill="auto"/>
          <w:lang w:val="fr-FR" w:eastAsia="fr-FR" w:bidi="fr-FR"/>
        </w:rPr>
        <w:t>creux,” “sonore,” “artificiel" “voulu,” “théâtral,” “violent,” as distinctly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as </w:t>
      </w:r>
      <w:r>
        <w:rPr>
          <w:rFonts w:ascii="Arial" w:eastAsia="Arial" w:hAnsi="Arial" w:cs="Arial"/>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author of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Causeries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could seize it. “ The Frank, energetic and subtle, who has mastered to perfection the technical and rhetorical resources of the Latin literature of the decadence,” is a description never to be forgotten of Victor Hugo as a poet,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launches it in this article, written when he was but thirty years old, and still a painter of “ portraits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jeunesse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only.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had thus been steadily working and growing; nevertheless, 1848 is an epoch which divides two critics in him of very unequal value. When, after that year of revolution and his stage of seclusion and labour at Liége, he came back to Paris in the autumn of 1849 and commenced in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Constitutionnel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Causeries du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lundi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was astonishingly matured. Something of fervour, enthusiasm, poetry, he may have lost, but he had become a perfect critic—a critic of measure, not exuberant; of the centre, not provincial; of keen industry and curiosity, with “ Truth ” (the word engraved in English on his seal) for his motto; moreover, with gay and amiable temper, his manner as good as his matter—the "critique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souriant,”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in Charles Monselet’s dedication to him, he is called.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root of everything in his criticism is his single-hearted devotion to truth. What he called “ fictions ” in literature, in politics, in religion, were not allowed to influence him. Some one had talked on his being tenacious of a certain set of literary opinions. </w:t>
      </w:r>
      <w:r>
        <w:rPr>
          <w:rFonts w:ascii="Arial" w:eastAsia="Arial" w:hAnsi="Arial" w:cs="Arial"/>
          <w:color w:val="000000"/>
          <w:spacing w:val="0"/>
          <w:w w:val="100"/>
          <w:position w:val="0"/>
          <w:sz w:val="20"/>
          <w:szCs w:val="20"/>
          <w:shd w:val="clear" w:color="auto" w:fill="auto"/>
          <w:lang w:val="en-US" w:eastAsia="en-US" w:bidi="en-US"/>
        </w:rPr>
        <w:t xml:space="preserve">“ 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hold very little,” he answers, “to literary opinions; literary opinions occupy very little place in my life and in my thoughts. What does occupy me seriously is life itself and the object of it.” “ I am accustomed incessantly to call my judgments in question anew, and to re-cast my opinions the moment I suspect them to be without validity.” “ What I have wished ”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Port-Royal)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to say not a word more than I thought, to stop even a little short of what I believed in certain cases, in order that my words might acquire more weight as historical testimony.” To all exaggeration and untruth, from whatever side it proceeded, he had an antipathy. “ I turn my back upon the Michelets and Quinets, but I cannot hold out my hand to the Veuillots.”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could not have been the great critic he was had he not had, at the service of this his love of truth and measure, the conscientious industry of a Benedictine. “ I never have a holiday. On Monday towards noon I lift up my head, and breathe for about an hour; after that the wicket shuts again and I am in my prison cell for seven days.”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Causeries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at this price. They came once a week, and to write one of them as he wrote it was indeed a week's work. The “ irresponsible indolent reviewer ” should read his notes to his friend and provider with books, M. Paul Chéron of the National Library. Here is a note dated the 2nd of January 1853: "Good-day and a happy New Year. To-day I set to work on Grimm. A little dry; but after St François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Sales ” (his Monday article just finished) “ one requires a little relief from roses. I have of Grimm the edition of his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Correspondance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Taschereau.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have also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Madame d’Épinay, where there are many letters of his. But it is possible that there may be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notices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him mentioned in the bibliographical book of that German whose name I have forgotten. I should like, too, to have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first editions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his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Correspondance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they came out in successive parts.” Thus he prepared himself, not for a grand review article once a quarter, but for a newspaper review once a week.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adhesion to the empire caused him to be represented by the Orleanists and Republicans as without character and patriotism, and to be charged with baseness and corruption. The Orleanists had, in a great degree, possession of the higher press in France and of English opinion—of Liberal English opinion more especially. And with English Liberals his indifference to parliamentary government was indeed a grievous fault in him; “you Whigs,” as Croker happily says, “are like quack doctors, who have but one specific for all constitutions.” To him either the doctrine of English Liberals, or the doctrine </w:t>
      </w:r>
      <w:r>
        <w:rPr>
          <w:rFonts w:ascii="Arial" w:eastAsia="Arial" w:hAnsi="Arial" w:cs="Arial"/>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Republicanism, applied absolutely, was what he called a “ fiction,” one of those fictions which “ always end by obscuring the truth.” Not even 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Tocqueville’s authority would he consent to receive “ </w:t>
      </w:r>
      <w:r>
        <w:rPr>
          <w:rFonts w:ascii="Times New Roman" w:eastAsia="Times New Roman" w:hAnsi="Times New Roman" w:cs="Times New Roman"/>
          <w:color w:val="000000"/>
          <w:spacing w:val="0"/>
          <w:w w:val="100"/>
          <w:position w:val="0"/>
          <w:sz w:val="17"/>
          <w:szCs w:val="17"/>
          <w:shd w:val="clear" w:color="auto" w:fill="auto"/>
          <w:lang w:val="fr-FR" w:eastAsia="fr-FR" w:bidi="fr-FR"/>
        </w:rPr>
        <w:t>les hypothèses dites les plus honor</w:t>
        <w:softHyphen/>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ables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suppositions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nass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most respectable.” AH suppositions he demanded to sift, to see them at work, to know the place and time and men to which they were to be applied. For the France before his eyes in 1849 he thought that something “ solid and stable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un mur,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wall,” as he said—was requisite, and that the government of Louis Napoleon supplied this walk But no one judged the empire more independently than he did, no one saw and enounced its faults more clearly ; he described himself as being, in his own single person, “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gauche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empire,” and the description was just.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these merits of mental independence, industry, measure, lucidity, his criticism adds the merit of happy temper and disposition. Goethe long ago noticed that, whereas Germans reviewed one another as enemies whom they hated, the critics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Globe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reviewed one another as gentlemen. This arose from the higher social develop</w:t>
        <w:softHyphen/>
        <w:t xml:space="preserve">ment of France and from the closer relations of literature with life there. But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more, as a critic, than the external politeness which once at any rate distinguished his countrymen: he has a personal charm of manner due to a sweet and humane temper. He complained 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un peu de dureté,</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certain dose of hardness,” in the new generation of writers. The personality of an author had a peculiar importance for him; the poetical side of his subjects, however latent it might be, always attracted him, and he always sought to extricate it. This was because he had the moderate, gracious, amiably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human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instincts of the true poetic nature. “ Let me beg of you, he says in thanking a reviewer who praised him, “ to alter one or two expressions at any rate. I cannot bear to have it said that I am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first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anything whatever, as a writer least of all; it is not a thing which can be admitted, and these ways of classing people give offence.” Literary man and loyal to the French Academy as he was, he can yet write to an old friend after his election: “ All these academies, between you and me, are pieces of childishness; at any rate the French Academy is. Our least quarter of an hour of solitary reverie or of serious talk, yours and mine, in our youth, was better employed; but, as one gets old, one falls back into the power of these nothings; only it is well to know that nothings they are.”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Perhaps the best way to get a sense of the value and extent of the work done in the last twenty years of his life by the critic thus excellently endowed is to take a single volume of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causeries du lundi,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look through its list of subjects, and to remember that with the qualities above mentioned all these subjects are treated. Any volume will serve; let us take the fourth. This volume con- sists of articles on twenty-four subjects. Twenty of these are the following: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Mirabeau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Sophie, Montaigne,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Mirabeau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 Marck, Mademoiselle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Scudéry, André Chénier as politician, Saint-Évremond and Ninon,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Joseph de Maistre, Madame de Lambert, Madame Necker,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Abbé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Maury,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Duc de Lauzun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fr-FR" w:eastAsia="fr-FR" w:bidi="fr-FR"/>
        </w:rPr>
        <w:t>Louis XVI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reign,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Marie Antoinette,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Buffon,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Madame de Maintenon, De Bonald Amyot, Mallet du Pan, Marmontel, Chamfort, Rulhière.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Almost every personage is French, it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true; Sainte- 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had a maxim that the critic should prefer subjects which he possesses familiarly. The great place of France in the world is very much due to her eminent gift for social life and development ; and this gift French literature has accompanied, fashioned, perfected, and continues to reflect And nowhere shall we find such interest more completely and charmingly brought out than in Sainte-Beuve’s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Causeries du lundi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Nouveaux lundis.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a guide to bring us to a knowledge of the French genius and literature he is unrivalled.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A.)</w:t>
      </w:r>
    </w:p>
    <w:p>
      <w:pPr>
        <w:pStyle w:val="Style3"/>
        <w:keepNext w:val="0"/>
        <w:keepLines w:val="0"/>
        <w:widowControl w:val="0"/>
        <w:shd w:val="clear" w:color="auto" w:fill="auto"/>
        <w:bidi w:val="0"/>
        <w:spacing w:line="192" w:lineRule="auto"/>
        <w:ind w:left="0" w:firstLine="360"/>
        <w:jc w:val="left"/>
        <w:rPr>
          <w:sz w:val="17"/>
          <w:szCs w:val="17"/>
        </w:rPr>
        <w:sectPr>
          <w:footnotePr>
            <w:pos w:val="pageBottom"/>
            <w:numFmt w:val="decimal"/>
            <w:numRestart w:val="continuous"/>
          </w:footnotePr>
          <w:pgSz w:w="12240" w:h="15840"/>
          <w:pgMar w:top="897" w:left="1018" w:right="856" w:bottom="659" w:header="0" w:footer="3" w:gutter="0"/>
          <w:cols w:space="720"/>
          <w:noEndnote/>
          <w:rtlGutter w:val="0"/>
          <w:docGrid w:linePitch="360"/>
        </w:sect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his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 Biographie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Nouveaux lundis,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xiii.,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Lettres à la princesse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Correspondance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(1877-1878)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Nouvelle Correspondance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(1880);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Vicomte d’Haussonville’s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(1875); Scherer,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Études sur la littérature contemporaine,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iv.; G. Michaut,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Sainte-Beuve avant les Lundis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centenary was celebrated in various ways; for centenary criticism see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Edinburgh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(April 1905)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Romantics”);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Monthly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(April 1905) (by F. Brunetière);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des Deux Mondes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(March 1905) (by Victor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Giraud).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Œuvres choisies de Juste Olivier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(1879) are some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“Souvenirs”; and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1903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Revue des Deux Mondes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published several interesting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articles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correspondence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 Olivier.</w:t>
      </w:r>
    </w:p>
    <w:sectPr>
      <w:footnotePr>
        <w:pos w:val="pageBottom"/>
        <w:numFmt w:val="decimal"/>
        <w:numRestart w:val="continuous"/>
      </w:footnotePr>
      <w:type w:val="continuous"/>
      <w:pgSz w:w="12240" w:h="15840"/>
      <w:pgMar w:top="897" w:left="1018" w:right="85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