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opinions, his property was confiscated after the Revolution because of his social position. He was brought up a strict Catholic, and always remained attached to the church, although his first work, </w:t>
      </w:r>
      <w:r>
        <w:rPr>
          <w:rFonts w:ascii="Times New Roman" w:eastAsia="Times New Roman" w:hAnsi="Times New Roman" w:cs="Times New Roman"/>
          <w:i/>
          <w:iCs/>
          <w:color w:val="000000"/>
          <w:spacing w:val="0"/>
          <w:w w:val="100"/>
          <w:position w:val="0"/>
          <w:shd w:val="clear" w:color="auto" w:fill="auto"/>
          <w:lang w:val="en-US" w:eastAsia="en-US" w:bidi="en-US"/>
        </w:rPr>
        <w:t>Of Errors and Truth,</w:t>
      </w:r>
      <w:r>
        <w:rPr>
          <w:rFonts w:ascii="Times New Roman" w:eastAsia="Times New Roman" w:hAnsi="Times New Roman" w:cs="Times New Roman"/>
          <w:color w:val="000000"/>
          <w:spacing w:val="0"/>
          <w:w w:val="100"/>
          <w:position w:val="0"/>
          <w:shd w:val="clear" w:color="auto" w:fill="auto"/>
          <w:lang w:val="en-US" w:eastAsia="en-US" w:bidi="en-US"/>
        </w:rPr>
        <w:t xml:space="preserve"> was placed upon the Index. He died at Aunay, near Paris, on the 23rd of October 1803.</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chief works are—</w:t>
      </w:r>
      <w:r>
        <w:rPr>
          <w:rFonts w:ascii="Times New Roman" w:eastAsia="Times New Roman" w:hAnsi="Times New Roman" w:cs="Times New Roman"/>
          <w:i/>
          <w:iCs/>
          <w:color w:val="000000"/>
          <w:spacing w:val="0"/>
          <w:w w:val="100"/>
          <w:position w:val="0"/>
          <w:shd w:val="clear" w:color="auto" w:fill="auto"/>
          <w:lang w:val="de-DE" w:eastAsia="de-DE" w:bidi="de-DE"/>
        </w:rPr>
        <w:t xml:space="preserve">Lettre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ami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Revolution </w:t>
      </w:r>
      <w:r>
        <w:rPr>
          <w:rFonts w:ascii="Times New Roman" w:eastAsia="Times New Roman" w:hAnsi="Times New Roman" w:cs="Times New Roman"/>
          <w:i/>
          <w:iCs/>
          <w:color w:val="000000"/>
          <w:spacing w:val="0"/>
          <w:w w:val="100"/>
          <w:position w:val="0"/>
          <w:shd w:val="clear" w:color="auto" w:fill="auto"/>
          <w:lang w:val="fr-FR" w:eastAsia="fr-FR" w:bidi="fr-FR"/>
        </w:rPr>
        <w:t>Française; Éclair sur l'association humaine; De l'esprit des choses; Ministère de l'homme-esprit.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 treatises appeared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posthumes </w:t>
      </w:r>
      <w:r>
        <w:rPr>
          <w:rFonts w:ascii="Times New Roman" w:eastAsia="Times New Roman" w:hAnsi="Times New Roman" w:cs="Times New Roman"/>
          <w:color w:val="000000"/>
          <w:spacing w:val="0"/>
          <w:w w:val="100"/>
          <w:position w:val="0"/>
          <w:shd w:val="clear" w:color="auto" w:fill="auto"/>
          <w:lang w:val="en-US" w:eastAsia="en-US" w:bidi="en-US"/>
        </w:rPr>
        <w:t xml:space="preserve">(1807). </w:t>
      </w:r>
      <w:r>
        <w:rPr>
          <w:rFonts w:ascii="Times New Roman" w:eastAsia="Times New Roman" w:hAnsi="Times New Roman" w:cs="Times New Roman"/>
          <w:color w:val="000000"/>
          <w:spacing w:val="0"/>
          <w:w w:val="100"/>
          <w:position w:val="0"/>
          <w:shd w:val="clear" w:color="auto" w:fill="auto"/>
          <w:lang w:val="fr-FR" w:eastAsia="fr-FR" w:bidi="fr-FR"/>
        </w:rPr>
        <w:t xml:space="preserve">Saint-Martin </w:t>
      </w:r>
      <w:r>
        <w:rPr>
          <w:rFonts w:ascii="Times New Roman" w:eastAsia="Times New Roman" w:hAnsi="Times New Roman" w:cs="Times New Roman"/>
          <w:color w:val="000000"/>
          <w:spacing w:val="0"/>
          <w:w w:val="100"/>
          <w:position w:val="0"/>
          <w:shd w:val="clear" w:color="auto" w:fill="auto"/>
          <w:lang w:val="en-US" w:eastAsia="en-US" w:bidi="en-US"/>
        </w:rPr>
        <w:t>regarded the French Revolution as a sermon in action, if not indeed a miniature of the last judgment. His ideal society was “ a natural and spiritual theocracy,” in which God would raise up men of mark and endowment, who would regard themselves strictly as “ divine commissioners ” to guide the people. All ecclesi</w:t>
        <w:softHyphen/>
        <w:t>astical organization was to disappear, giving place to a purely spiritual Christianity, based on the assertion of a faculty superior to the reason—moral sense, from which we derive knowledge of God. God exists as an eternal personality, and the creation is an over</w:t>
        <w:softHyphen/>
        <w:t>flowing of the divine love, which was unable to contain itself. The human soul, the human intellect or spirit, the spirit of the universe, and the elements or matter are the four stages of this divine emana</w:t>
        <w:softHyphen/>
        <w:t>tion, man being the immediate reflection of God, and nature in turn a reflection of man. Man, however, has fallen from his high estate, and matter is one of the consequences of his fall. But divine love, united to humanity in Christ, will work the final regeneration.</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B. Gence,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hd w:val="clear" w:color="auto" w:fill="auto"/>
          <w:lang w:val="fr-FR" w:eastAsia="fr-FR" w:bidi="fr-FR"/>
        </w:rPr>
        <w:t>biographique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(1824); L. I. Moreau, </w:t>
      </w:r>
      <w:r>
        <w:rPr>
          <w:rFonts w:ascii="Times New Roman" w:eastAsia="Times New Roman" w:hAnsi="Times New Roman" w:cs="Times New Roman"/>
          <w:i/>
          <w:iCs/>
          <w:color w:val="000000"/>
          <w:spacing w:val="0"/>
          <w:w w:val="100"/>
          <w:position w:val="0"/>
          <w:shd w:val="clear" w:color="auto" w:fill="auto"/>
          <w:lang w:val="fr-FR" w:eastAsia="fr-FR" w:bidi="fr-FR"/>
        </w:rPr>
        <w:t>Le Philosophe inconnu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(1850); E. M. Caro, </w:t>
      </w:r>
      <w:r>
        <w:rPr>
          <w:rFonts w:ascii="Times New Roman" w:eastAsia="Times New Roman" w:hAnsi="Times New Roman" w:cs="Times New Roman"/>
          <w:i/>
          <w:iCs/>
          <w:color w:val="000000"/>
          <w:spacing w:val="0"/>
          <w:w w:val="100"/>
          <w:position w:val="0"/>
          <w:shd w:val="clear" w:color="auto" w:fill="auto"/>
          <w:lang w:val="fr-FR" w:eastAsia="fr-FR" w:bidi="fr-FR"/>
        </w:rPr>
        <w:t>Essai sur la vie et la doctrine de Saint-Martin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(1852);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 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 </w:t>
      </w:r>
      <w:r>
        <w:rPr>
          <w:rFonts w:ascii="Times New Roman" w:eastAsia="Times New Roman" w:hAnsi="Times New Roman" w:cs="Times New Roman"/>
          <w:color w:val="000000"/>
          <w:spacing w:val="0"/>
          <w:w w:val="100"/>
          <w:position w:val="0"/>
          <w:shd w:val="clear" w:color="auto" w:fill="auto"/>
          <w:lang w:val="fr-FR" w:eastAsia="fr-FR" w:bidi="fr-FR"/>
        </w:rPr>
        <w:t xml:space="preserve">A. J. </w:t>
      </w:r>
      <w:r>
        <w:rPr>
          <w:rFonts w:ascii="Times New Roman" w:eastAsia="Times New Roman" w:hAnsi="Times New Roman" w:cs="Times New Roman"/>
          <w:color w:val="000000"/>
          <w:spacing w:val="0"/>
          <w:w w:val="100"/>
          <w:position w:val="0"/>
          <w:shd w:val="clear" w:color="auto" w:fill="auto"/>
          <w:lang w:val="en-US" w:eastAsia="en-US" w:bidi="en-US"/>
        </w:rPr>
        <w:t xml:space="preserve">Matter, </w:t>
      </w:r>
      <w:r>
        <w:rPr>
          <w:rFonts w:ascii="Times New Roman" w:eastAsia="Times New Roman" w:hAnsi="Times New Roman" w:cs="Times New Roman"/>
          <w:i/>
          <w:iCs/>
          <w:color w:val="000000"/>
          <w:spacing w:val="0"/>
          <w:w w:val="100"/>
          <w:position w:val="0"/>
          <w:shd w:val="clear" w:color="auto" w:fill="auto"/>
          <w:lang w:val="fr-FR" w:eastAsia="fr-FR" w:bidi="fr-FR"/>
        </w:rPr>
        <w:t>Saint-Martin, le philosophe inconnu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color w:val="000000"/>
          <w:spacing w:val="0"/>
          <w:w w:val="100"/>
          <w:position w:val="0"/>
          <w:shd w:val="clear" w:color="auto" w:fill="auto"/>
          <w:lang w:val="fr-FR" w:eastAsia="fr-FR" w:bidi="fr-FR"/>
        </w:rPr>
        <w:t xml:space="preserve">A. Franck, </w:t>
      </w:r>
      <w:r>
        <w:rPr>
          <w:rFonts w:ascii="Times New Roman" w:eastAsia="Times New Roman" w:hAnsi="Times New Roman" w:cs="Times New Roman"/>
          <w:i/>
          <w:iCs/>
          <w:color w:val="000000"/>
          <w:spacing w:val="0"/>
          <w:w w:val="100"/>
          <w:position w:val="0"/>
          <w:shd w:val="clear" w:color="auto" w:fill="auto"/>
          <w:lang w:val="fr-FR" w:eastAsia="fr-FR" w:bidi="fr-FR"/>
        </w:rPr>
        <w:t>La Philosophie mystique en France à la fin du dix-huitième 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w:t>
      </w:r>
      <w:r>
        <w:rPr>
          <w:rFonts w:ascii="Times New Roman" w:eastAsia="Times New Roman" w:hAnsi="Times New Roman" w:cs="Times New Roman"/>
          <w:color w:val="000000"/>
          <w:spacing w:val="0"/>
          <w:w w:val="100"/>
          <w:position w:val="0"/>
          <w:shd w:val="clear" w:color="auto" w:fill="auto"/>
          <w:lang w:val="fr-FR" w:eastAsia="fr-FR" w:bidi="fr-FR"/>
        </w:rPr>
        <w:t xml:space="preserve">A. E. </w:t>
      </w:r>
      <w:r>
        <w:rPr>
          <w:rFonts w:ascii="Times New Roman" w:eastAsia="Times New Roman" w:hAnsi="Times New Roman" w:cs="Times New Roman"/>
          <w:color w:val="000000"/>
          <w:spacing w:val="0"/>
          <w:w w:val="100"/>
          <w:position w:val="0"/>
          <w:shd w:val="clear" w:color="auto" w:fill="auto"/>
          <w:lang w:val="en-US" w:eastAsia="en-US" w:bidi="en-US"/>
        </w:rPr>
        <w:t xml:space="preserve">Waite,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Life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Louis Claude de Saint-Martin </w:t>
      </w:r>
      <w:r>
        <w:rPr>
          <w:rFonts w:ascii="Times New Roman" w:eastAsia="Times New Roman" w:hAnsi="Times New Roman" w:cs="Times New Roman"/>
          <w:color w:val="000000"/>
          <w:spacing w:val="0"/>
          <w:w w:val="100"/>
          <w:position w:val="0"/>
          <w:shd w:val="clear" w:color="auto" w:fill="auto"/>
          <w:lang w:val="en-US" w:eastAsia="en-US" w:bidi="en-US"/>
        </w:rPr>
        <w:t xml:space="preserve">(1901). There are English </w:t>
      </w:r>
      <w:r>
        <w:rPr>
          <w:rFonts w:ascii="Times New Roman" w:eastAsia="Times New Roman" w:hAnsi="Times New Roman" w:cs="Times New Roman"/>
          <w:color w:val="000000"/>
          <w:spacing w:val="0"/>
          <w:w w:val="100"/>
          <w:position w:val="0"/>
          <w:shd w:val="clear" w:color="auto" w:fill="auto"/>
          <w:lang w:val="fr-FR" w:eastAsia="fr-FR" w:bidi="fr-FR"/>
        </w:rPr>
        <w:t xml:space="preserve">translations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The Ministry of Man the Spirit</w:t>
      </w:r>
      <w:r>
        <w:rPr>
          <w:rFonts w:ascii="Times New Roman" w:eastAsia="Times New Roman" w:hAnsi="Times New Roman" w:cs="Times New Roman"/>
          <w:color w:val="000000"/>
          <w:spacing w:val="0"/>
          <w:w w:val="100"/>
          <w:position w:val="0"/>
          <w:shd w:val="clear" w:color="auto" w:fill="auto"/>
          <w:lang w:val="en-US" w:eastAsia="en-US" w:bidi="en-US"/>
        </w:rPr>
        <w:t xml:space="preserve"> (1864) and of </w:t>
      </w:r>
      <w:r>
        <w:rPr>
          <w:rFonts w:ascii="Times New Roman" w:eastAsia="Times New Roman" w:hAnsi="Times New Roman" w:cs="Times New Roman"/>
          <w:i/>
          <w:iCs/>
          <w:color w:val="000000"/>
          <w:spacing w:val="0"/>
          <w:w w:val="100"/>
          <w:position w:val="0"/>
          <w:shd w:val="clear" w:color="auto" w:fill="auto"/>
          <w:lang w:val="en-US" w:eastAsia="en-US" w:bidi="en-US"/>
        </w:rPr>
        <w:t>Select 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(1863) by E. B. Penny.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MARTIN, an island in the West Indies, about 5 m. S. of the British island of Anguilla in 18° N. and 63° W. It is 38 sq. m. in area and nearly triangular in form, composed of conical hills, culminating in Paradise Peak (1920 ft.). It is the only island in the Antilles owned by two European powers; 17 sq. m. in the N., belonging to France, form a dependency of Guadeloupe, while the rest of the island, belonging to Holland, is a dependency of Curaçao. Sugar, formerly its staple, has been succeeded by salt. The chief town of the French area is </w:t>
      </w:r>
      <w:r>
        <w:rPr>
          <w:rFonts w:ascii="Times New Roman" w:eastAsia="Times New Roman" w:hAnsi="Times New Roman" w:cs="Times New Roman"/>
          <w:color w:val="000000"/>
          <w:spacing w:val="0"/>
          <w:w w:val="100"/>
          <w:position w:val="0"/>
          <w:shd w:val="clear" w:color="auto" w:fill="auto"/>
          <w:lang w:val="fr-FR" w:eastAsia="fr-FR" w:bidi="fr-FR"/>
        </w:rPr>
        <w:t xml:space="preserve">Marigot, </w:t>
      </w:r>
      <w:r>
        <w:rPr>
          <w:rFonts w:ascii="Times New Roman" w:eastAsia="Times New Roman" w:hAnsi="Times New Roman" w:cs="Times New Roman"/>
          <w:color w:val="000000"/>
          <w:spacing w:val="0"/>
          <w:w w:val="100"/>
          <w:position w:val="0"/>
          <w:shd w:val="clear" w:color="auto" w:fill="auto"/>
          <w:lang w:val="en-US" w:eastAsia="en-US" w:bidi="en-US"/>
        </w:rPr>
        <w:t>a free port on the W. coast; of the Dutch, Philipsburg, on the S. St Martin was first occupied by French freebooters in 1638, but ten years later the division between France and Holland was peaceably made. The inhabitants, mostly English-speaking negroes, number about 3000 in the French part, and in the Dutch the population in 1908 was 3817.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MARY (Santa Maria), an island in the Atlantic Ocean, belonging to Portugal and forming part of the Azores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Pop. (1900), 6383; area, 40 sq. m. St Mary is the southernmost and easternmost of the Azores, lying south of the larger island of St Michael’s, through the medium of which its trade is con</w:t>
        <w:softHyphen/>
        <w:t>ducted, as it has no good harbours of its own. It produces wheat in abundance, of which a considerable quantity is exported. Various volcanic rocks arc the predominant formations, but beds of limestone also occur, giving rise to numerous stalactite grottoes all over the island. The chief town is Villa do Porto (2506).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MARYLEBONE (commonly called </w:t>
      </w:r>
      <w:r>
        <w:rPr>
          <w:rFonts w:ascii="Times New Roman" w:eastAsia="Times New Roman" w:hAnsi="Times New Roman" w:cs="Times New Roman"/>
          <w:smallCaps/>
          <w:color w:val="000000"/>
          <w:spacing w:val="0"/>
          <w:w w:val="100"/>
          <w:position w:val="0"/>
          <w:shd w:val="clear" w:color="auto" w:fill="auto"/>
          <w:lang w:val="en-US" w:eastAsia="en-US" w:bidi="en-US"/>
        </w:rPr>
        <w:t>Marylebone),</w:t>
      </w:r>
      <w:r>
        <w:rPr>
          <w:rFonts w:ascii="Times New Roman" w:eastAsia="Times New Roman" w:hAnsi="Times New Roman" w:cs="Times New Roman"/>
          <w:color w:val="000000"/>
          <w:spacing w:val="0"/>
          <w:w w:val="100"/>
          <w:position w:val="0"/>
          <w:shd w:val="clear" w:color="auto" w:fill="auto"/>
          <w:lang w:val="en-US" w:eastAsia="en-US" w:bidi="en-US"/>
        </w:rPr>
        <w:t xml:space="preserve"> a north</w:t>
        <w:softHyphen/>
        <w:t>western metropolitan borough of London, England, bounded N. by Hampstead, E. by St Pancras and Holbom,S. by the City of Westminster, and W. by Paddington. Pop. (1901), 133,301. It is mainly a rich residential quarter; the most fashionable part is found in the south, in the vicinity of Cavendish and Portman Squares, but there are numerous fine houses surrounding Regent’s Park and in the north-western district of St John’s Wood. Oxford Street, with its handsome shops, bounds the borough on the south, crossing Regent Street at Oxford Circus; Edgware Road on the west; Marylebone Road crosses from cast to west, and from this Upper Baker Street gives access to Park, Wellington, and Finchley Roads; and Baker Street leads south</w:t>
        <w:softHyphen/>
        <w:t xml:space="preserve">ward. Poor and squalid streets are found, in close proximity to the wealthiest localities, between Marylebone Road and St John’s Wood Road, and about High Street in the south, the site of the original village. The formation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Great Central Railway, the Marylebone terminus of which, in Marylebone Road, was opened in 1899, caused an extensive demolition of streets and houses in the west central district. St Marylebone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 in the manor of Tyburn, which takes name from the Tyburn, a stream which flowed south to the Thames through the centre of the present borough. The church was called St Mary at the Bourne. The name Tyburn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was notorious chiefly as applied to the gallows which stood near the existing junction of Edgware Road and Oxford Street (Marble Arch). The manor at the Domesday Survey was in the possession of the nunnery at Barking, but the borough includes several estates, such as the manor of Lyllestone in the west, the name of which is preserved in Lisson Grove. From 1738 to 1776 Marylebone Gardens (which had existed under other names from the close of the 17th century) became one of the most favoured evening resorts in London. They extended east of High Street as far as Harley Street, but by 1778 the ground was being built over. Another historic site is Horace Street near Edgware Road, formerly Cato Street, from which the conspiracy which bore that name was directed against the ministry in 1820.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borough </w:t>
      </w:r>
      <w:r>
        <w:rPr>
          <w:rFonts w:ascii="Times New Roman" w:eastAsia="Times New Roman" w:hAnsi="Times New Roman" w:cs="Times New Roman"/>
          <w:color w:val="000000"/>
          <w:spacing w:val="0"/>
          <w:w w:val="100"/>
          <w:position w:val="0"/>
          <w:shd w:val="clear" w:color="auto" w:fill="auto"/>
          <w:lang w:val="fr-FR" w:eastAsia="fr-FR" w:bidi="fr-FR"/>
        </w:rPr>
        <w:t xml:space="preserve">includes </w:t>
      </w:r>
      <w:r>
        <w:rPr>
          <w:rFonts w:ascii="Times New Roman" w:eastAsia="Times New Roman" w:hAnsi="Times New Roman" w:cs="Times New Roman"/>
          <w:color w:val="000000"/>
          <w:spacing w:val="0"/>
          <w:w w:val="100"/>
          <w:position w:val="0"/>
          <w:shd w:val="clear" w:color="auto" w:fill="auto"/>
          <w:lang w:val="en-US" w:eastAsia="en-US" w:bidi="en-US"/>
        </w:rPr>
        <w:t xml:space="preserve">almost the whole of Regent’s Park, with a portion of Primrose Hill north of it. These have altogether an area of 472 acres. The park, originalIy Marylebone Park, was enclosed by James I., and received its modern name from the Prince Regent, afterwards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 xml:space="preserve">IV. It contains the Zoological Gardens, one of the most noteworthy institutions of its kind, attracting numerous visitors to its splendid collections of living animals. Here are also the gardens of the Royal Botanic Society, incorporated in 1839. They are enclosed and beautifully laid out, and contain hot-houses and a museum. Exhibitions are held each year. The Toxophilite Society, founded in 1781, has also occupied grounds here since 1883. The picturesque lake is supplied by the ancient Tyburn. The Regent’s Canal skirts the north side of the park. Another famous enclosure is Lord’s Cricket Ground, St John’s Wood Road. The founder, Thomas Lord (1814), at first established a cricket ground in the present Dorset Square, but it was soon moved here. Lord’s, as it is called, is the headquarters of the M.C.C. (Marylebone Cricket Club), the governing body of the game ; here are played the home matches of this club and of the Middlesex County Cricket Club, the Oxford and Cambridge, Eton and Harrow, and other well-known fixtures. The Wallace Art Collection, Hertford House, Manchester Square, was bequeathed by Sir Richard Wallace to the nation on the death of his wife in 1897. The waxwork exhibition named after Madame Tussaud, who founded it in Paris in 1780, occupies large buildings in Marylebone Road. The </w:t>
      </w:r>
      <w:r>
        <w:rPr>
          <w:rFonts w:ascii="Times New Roman" w:eastAsia="Times New Roman" w:hAnsi="Times New Roman" w:cs="Times New Roman"/>
          <w:color w:val="000000"/>
          <w:spacing w:val="0"/>
          <w:w w:val="100"/>
          <w:position w:val="0"/>
          <w:shd w:val="clear" w:color="auto" w:fill="auto"/>
          <w:lang w:val="de-DE" w:eastAsia="de-DE" w:bidi="de-DE"/>
        </w:rPr>
        <w:t xml:space="preserve">Parkes </w:t>
      </w:r>
      <w:r>
        <w:rPr>
          <w:rFonts w:ascii="Times New Roman" w:eastAsia="Times New Roman" w:hAnsi="Times New Roman" w:cs="Times New Roman"/>
          <w:color w:val="000000"/>
          <w:spacing w:val="0"/>
          <w:w w:val="100"/>
          <w:position w:val="0"/>
          <w:shd w:val="clear" w:color="auto" w:fill="auto"/>
          <w:lang w:val="en-US" w:eastAsia="en-US" w:bidi="en-US"/>
        </w:rPr>
        <w:t>Museum of the Sanitary Institute is in Margaret Street. The Queen’s Hall, Langham Place, is used for concerts, including a notable annual series of orchestral promenade concerts St Marylebone contains a great number of hospitals, among which are the Middlesex, Mortimer Street; Throat Hospital and Dental Hospital and School, Great Portland Street; Lying-in and Ophthalmic Hospitals,Maryle</w:t>
        <w:softHyphen/>
        <w:t>bone Road; Samaritan Hospital for women, Seymour Street; Con</w:t>
        <w:softHyphen/>
        <w:t>sumption Hospital, Margaret Street; and the Home for incurable children, St John’s Wood Road. There are also several industrial homes. Harley Street, between Marylebone Road and Cavendish Square, is noted as the residence of medical practitioners Educa</w:t>
        <w:softHyphen/>
        <w:t>tional institutions include the Trinity and the Victoria Colleges of Music, in Manchester Square and Berners Street respectively; the Bedford College for women, and the Regent's Park Baptist College. The parliamentary borough of Marylebone has east and west divisions, each returning one member. The borough council consists of a mayor, 10 aldermen and 60 councillors. Area, 1472.8 acres.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 MARYS, a city of Auglaize county, Ohio, U.S.A., on the Saint Marys river and the Miami &amp; Eric canal, about 85 m. W.N.W. of Columbus. Pop. (1910) 5732. Saint Marys is served by the Lake Erie &amp; Western, the Western Ohio (electric), and the Toledo &amp; Ohio Central railways. About 1 m. west is a feeding reservoir of the canal covering about 17,600 acres. Saint Marys is in the Ohio oil region. The city occupies the site of a former Shawnee village, in which a trading post was established in 1782 by James Girty,@@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whom the place was for some years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James Girty (1743-1817) was one of the notorious Girty brothers, the sons of Simon Girty (d. 1751), an Irish immigrant. The brothers were taken prisoners by the French and lndian force which in 1756 captured Fort GranvilIe, in what is now Mifflin county, Pennsylvania. James was adopted by the Shawnees and lived among them for three years, after which he acted as an interpreter and trader; he fre</w:t>
        <w:softHyphen/>
        <w:t>quently accompanied the lndians against the English settlers, and exhibited the greatest ferocity. He conducted a profitable trading business with the lndians at St Marys in 1783-1794, when he with</w:t>
        <w:softHyphen/>
        <w:t>drew to Canada upon the approach of General Wayne, and again from 1795 until just before the War of 1812, when he again withdrew to Canada, where he died. His brother Simon (1741-1818), who lived with the Senecas for several years after his capture, was even more bloodthirsty ; he served against the lndians in Lord Dunmore’s War, and in 1776, during the War of Independence, entered the</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