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Samaritan language properly so called is a dialect of Palestinian Aramaic, of which the best examples are found in the literature of the 4th century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An archaic alphabet, derived from the old Hebrew, was retained, and is still used by them for writing Aramaic, Hebrew and sometimes even Arabic. After the Moslem conquest of Syria in 632 the native dialect of Aramaic gradually died out, and by the 11th century Arabic had become the literary as well as the popular language. In the Liturgy Hebrew was no doubt used from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earliest times side by side with Aramaic, and after the 11th century it became, in a debased form, the only language for new liturgical compositions.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literature of the Samaritans is, like that of the Jews, almost entirely of a religious character. Reference has been made above to Samaritan Hellenistic works which have perished except for a few fragments. According to Samaritan tradition, their books were destroyed under Hadrian and Commodus, but of the language and contents of them nothing is recorded. There can be no doubt that some, perhaps much, of the literature has been lost, for nothing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extant which can be dated before the 4th century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The Targum, or Samaritan-Aramaic version of the Pentateuch was most probably written down about that time, though it was clearly based on a much older tradition and must have undergone various recensions. To the same period belong the liturgical compositions of Amram Darah and Marqah, and the latter’s midrashic commentary (called the "Book of Wonders ”) on parts of the Pentateuch, all in Aramaic. With the possible exception of one or two hymns there is nothing further till the 11th century when there appears the Arabic version of the Pentateuch, usually ascribed to Abu Sa*id, but perhaps really by Abu’l-basan@@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Tyre, who also wrote three Arabic treatises, still extant, on theological subjects, besides some hymns. Of the same date (1053) is an anonymous commentary@@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on Genesis, preserved in the Bodleian Library at Oxford (MS. Opp. add. 4°, 99), interesting because it quotes from books of the Bible other than the Pentateuch. In the 12th century, Munajja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his son Ṣadaqah wrote on theology; the earlier part of the chronicle called al-Taulidah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was compiled, in Hebrew (1149); and about the same time treatises on Grammar@@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by Abu Sa'id and Abu Isḥaq Ibrahim ibn Faraj. The next 100 years were rather barren. Ghazal ibn-al-Duwaik, who wrote on the story of Balak and on the restoration of the kingdom to Israel, is said to have lived in the 13th century, and another chronicle (in Arabic), called the Book of Joshua, is dated about the same time by T. W. J. Juynboll.@@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In the second half of the 14th century lived three important liturgical writers, Abisha b. Phinehas </w:t>
      </w:r>
      <w:r>
        <w:rPr>
          <w:rFonts w:ascii="Times New Roman" w:eastAsia="Times New Roman" w:hAnsi="Times New Roman" w:cs="Times New Roman"/>
          <w:color w:val="000000"/>
          <w:spacing w:val="0"/>
          <w:w w:val="100"/>
          <w:position w:val="0"/>
          <w:shd w:val="clear" w:color="auto" w:fill="auto"/>
          <w:lang w:val="de-DE" w:eastAsia="de-DE" w:bidi="de-DE"/>
        </w:rPr>
        <w:t xml:space="preserve">(ob. </w:t>
      </w:r>
      <w:r>
        <w:rPr>
          <w:rFonts w:ascii="Times New Roman" w:eastAsia="Times New Roman" w:hAnsi="Times New Roman" w:cs="Times New Roman"/>
          <w:color w:val="000000"/>
          <w:spacing w:val="0"/>
          <w:w w:val="100"/>
          <w:position w:val="0"/>
          <w:shd w:val="clear" w:color="auto" w:fill="auto"/>
          <w:lang w:val="en-US" w:eastAsia="en-US" w:bidi="en-US"/>
        </w:rPr>
        <w:t>1376), Abdallah b. Solomon and Sa'd-allah (or Sa'd-ed-din) b. Ṣadaqah: Abu'l-fath, who composed his chronicle@@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in 1355: a high priest Phinehas, author of a lexicon: and the anonymous writer of the commentary on the Kitab al-asaṭir,@@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a work, ascribed to Moses, containing legends of the Patriarchs. Another famous liturgist Abraham Qabaẓi lived in the early part of the 16th century, and his pupil Isma'il Rumaiḥi in 1537 wrote a work on the praise of Moses. Probably about the same time, or a little later, is another anonymous commentary on Genesis in the Huntington Collection in the Bodleian Library (MS. Hunt. 301). Several members of the Danfi family were prominent in the 18th century as liturgists, among them Abraham b. Jacob, who also wrote a commentary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on Gen.-Num., and of the levitical family Ghazal ibn Abi Sarur, who commented on Gen.-Exod. Another Ghazal (=Ṭabiah n. Isaac), priest-levite, who died in 1786, was a considerable writer of liturgy. Subsequent authors are few and of little interest. Mention need only be made of the chronicle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 xml:space="preserve">written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compiled) in Hebrew by Ab Sakhwah ( = Murjan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b. As'ad, of the Danfi family, in 1900, chiefly on the basis of al-Taulidah and Abu’l-fatḥ; an Arabic chronicle@@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by Phinehas b. Isaac </w:t>
      </w:r>
      <w:r>
        <w:rPr>
          <w:rFonts w:ascii="Times New Roman" w:eastAsia="Times New Roman" w:hAnsi="Times New Roman" w:cs="Times New Roman"/>
          <w:color w:val="000000"/>
          <w:spacing w:val="0"/>
          <w:w w:val="100"/>
          <w:position w:val="0"/>
          <w:shd w:val="clear" w:color="auto" w:fill="auto"/>
          <w:lang w:val="de-DE" w:eastAsia="de-DE" w:bidi="de-DE"/>
        </w:rPr>
        <w:t>(ob.</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1898) of the levitical family; and a theological work,@@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also in Arabic by the present priest-levite, Jacob b. Aaron.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—General: Nutt, </w:t>
      </w:r>
      <w:r>
        <w:rPr>
          <w:rFonts w:ascii="Times New Roman" w:eastAsia="Times New Roman" w:hAnsi="Times New Roman" w:cs="Times New Roman"/>
          <w:i/>
          <w:iCs/>
          <w:color w:val="000000"/>
          <w:spacing w:val="0"/>
          <w:w w:val="100"/>
          <w:position w:val="0"/>
          <w:shd w:val="clear" w:color="auto" w:fill="auto"/>
          <w:lang w:val="en-US" w:eastAsia="en-US" w:bidi="en-US"/>
        </w:rPr>
        <w:t>Fragments of a Samaritan Targum . . . with . . . a Sketch of Sam. History, &amp;c.</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1874); Montgomery, </w:t>
      </w:r>
      <w:r>
        <w:rPr>
          <w:rFonts w:ascii="Times New Roman" w:eastAsia="Times New Roman" w:hAnsi="Times New Roman" w:cs="Times New Roman"/>
          <w:i/>
          <w:iCs/>
          <w:color w:val="000000"/>
          <w:spacing w:val="0"/>
          <w:w w:val="100"/>
          <w:position w:val="0"/>
          <w:shd w:val="clear" w:color="auto" w:fill="auto"/>
          <w:lang w:val="en-US" w:eastAsia="en-US" w:bidi="en-US"/>
        </w:rPr>
        <w:t>The Samaritans</w:t>
      </w:r>
      <w:r>
        <w:rPr>
          <w:rFonts w:ascii="Times New Roman" w:eastAsia="Times New Roman" w:hAnsi="Times New Roman" w:cs="Times New Roman"/>
          <w:color w:val="000000"/>
          <w:spacing w:val="0"/>
          <w:w w:val="100"/>
          <w:position w:val="0"/>
          <w:shd w:val="clear" w:color="auto" w:fill="auto"/>
          <w:lang w:val="en-US" w:eastAsia="en-US" w:bidi="en-US"/>
        </w:rPr>
        <w:t xml:space="preserve"> (Philadelphia, 1907), an ex</w:t>
        <w:softHyphen/>
        <w:t xml:space="preserve">cellent account with full bibliography; Petermann, </w:t>
      </w:r>
      <w:r>
        <w:rPr>
          <w:rFonts w:ascii="Times New Roman" w:eastAsia="Times New Roman" w:hAnsi="Times New Roman" w:cs="Times New Roman"/>
          <w:i/>
          <w:iCs/>
          <w:color w:val="000000"/>
          <w:spacing w:val="0"/>
          <w:w w:val="100"/>
          <w:position w:val="0"/>
          <w:shd w:val="clear" w:color="auto" w:fill="auto"/>
          <w:lang w:val="en-US" w:eastAsia="en-US" w:bidi="en-US"/>
        </w:rPr>
        <w:t>Brevis ling, sam. grammatica</w:t>
      </w:r>
      <w:r>
        <w:rPr>
          <w:rFonts w:ascii="Times New Roman" w:eastAsia="Times New Roman" w:hAnsi="Times New Roman" w:cs="Times New Roman"/>
          <w:color w:val="000000"/>
          <w:spacing w:val="0"/>
          <w:w w:val="100"/>
          <w:position w:val="0"/>
          <w:shd w:val="clear" w:color="auto" w:fill="auto"/>
          <w:lang w:val="en-US" w:eastAsia="en-US" w:bidi="en-US"/>
        </w:rPr>
        <w:t xml:space="preserve"> (Porta Lingg. Orient.), Leipzig, 1873; Steinschneider,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arabische Literatur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Juden,</w:t>
      </w:r>
      <w:r>
        <w:rPr>
          <w:rFonts w:ascii="Times New Roman" w:eastAsia="Times New Roman" w:hAnsi="Times New Roman" w:cs="Times New Roman"/>
          <w:color w:val="000000"/>
          <w:spacing w:val="0"/>
          <w:w w:val="100"/>
          <w:position w:val="0"/>
          <w:shd w:val="clear" w:color="auto" w:fill="auto"/>
          <w:lang w:val="de-DE" w:eastAsia="de-DE" w:bidi="de-DE"/>
        </w:rPr>
        <w:t xml:space="preserve"> p</w:t>
      </w:r>
      <w:r>
        <w:rPr>
          <w:rFonts w:ascii="Times New Roman" w:eastAsia="Times New Roman" w:hAnsi="Times New Roman" w:cs="Times New Roman"/>
          <w:color w:val="000000"/>
          <w:spacing w:val="0"/>
          <w:w w:val="100"/>
          <w:position w:val="0"/>
          <w:shd w:val="clear" w:color="auto" w:fill="auto"/>
          <w:lang w:val="en-US" w:eastAsia="en-US" w:bidi="en-US"/>
        </w:rPr>
        <w:t>. 319 sqq. (Frankfurt, 1902).</w:t>
      </w:r>
    </w:p>
    <w:p>
      <w:pPr>
        <w:pStyle w:val="Style3"/>
        <w:keepNext w:val="0"/>
        <w:keepLines w:val="0"/>
        <w:widowControl w:val="0"/>
        <w:shd w:val="clear" w:color="auto" w:fill="auto"/>
        <w:tabs>
          <w:tab w:pos="4272"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Texts: the Pentateuch in the Paris and London Polyglotts; separately by Blayney (Oxford, 1790). A critical edition is in preparation by the Freiherr von Gall. Targum in the Polyglotts; reprinted in square character by </w:t>
      </w:r>
      <w:r>
        <w:rPr>
          <w:rFonts w:ascii="Times New Roman" w:eastAsia="Times New Roman" w:hAnsi="Times New Roman" w:cs="Times New Roman"/>
          <w:color w:val="000000"/>
          <w:spacing w:val="0"/>
          <w:w w:val="100"/>
          <w:position w:val="0"/>
          <w:shd w:val="clear" w:color="auto" w:fill="auto"/>
          <w:lang w:val="de-DE" w:eastAsia="de-DE" w:bidi="de-DE"/>
        </w:rPr>
        <w:t xml:space="preserve">Brüll </w:t>
      </w:r>
      <w:r>
        <w:rPr>
          <w:rFonts w:ascii="Times New Roman" w:eastAsia="Times New Roman" w:hAnsi="Times New Roman" w:cs="Times New Roman"/>
          <w:color w:val="000000"/>
          <w:spacing w:val="0"/>
          <w:w w:val="100"/>
          <w:position w:val="0"/>
          <w:shd w:val="clear" w:color="auto" w:fill="auto"/>
          <w:lang w:val="en-US" w:eastAsia="en-US" w:bidi="en-US"/>
        </w:rPr>
        <w:t xml:space="preserve">(Frankfurt, 1874-1879); with critical apparatus by Petermann and Vollers (Berolini, 1872-1891); cf. also Nutt,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Kohn, “ </w:t>
      </w:r>
      <w:r>
        <w:rPr>
          <w:rFonts w:ascii="Times New Roman" w:eastAsia="Times New Roman" w:hAnsi="Times New Roman" w:cs="Times New Roman"/>
          <w:color w:val="000000"/>
          <w:spacing w:val="0"/>
          <w:w w:val="100"/>
          <w:position w:val="0"/>
          <w:shd w:val="clear" w:color="auto" w:fill="auto"/>
          <w:lang w:val="de-DE" w:eastAsia="de-DE" w:bidi="de-DE"/>
        </w:rPr>
        <w:t xml:space="preserve">Zur Sprache </w:t>
      </w:r>
      <w:r>
        <w:rPr>
          <w:rFonts w:ascii="Times New Roman" w:eastAsia="Times New Roman" w:hAnsi="Times New Roman" w:cs="Times New Roman"/>
          <w:color w:val="000000"/>
          <w:spacing w:val="0"/>
          <w:w w:val="100"/>
          <w:position w:val="0"/>
          <w:shd w:val="clear" w:color="auto" w:fill="auto"/>
          <w:lang w:val="en-US" w:eastAsia="en-US" w:bidi="en-US"/>
        </w:rPr>
        <w:t xml:space="preserve">. . . </w:t>
      </w:r>
      <w:r>
        <w:rPr>
          <w:rFonts w:ascii="Times New Roman" w:eastAsia="Times New Roman" w:hAnsi="Times New Roman" w:cs="Times New Roman"/>
          <w:color w:val="000000"/>
          <w:spacing w:val="0"/>
          <w:w w:val="100"/>
          <w:position w:val="0"/>
          <w:shd w:val="clear" w:color="auto" w:fill="auto"/>
          <w:lang w:val="de-DE" w:eastAsia="de-DE" w:bidi="de-DE"/>
        </w:rPr>
        <w:t xml:space="preserve">der Samaritaner,” pt. ii.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1876)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Abhandlungen</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f. d. Kunde d. Morgenlandes,</w:t>
      </w:r>
      <w:r>
        <w:rPr>
          <w:rFonts w:ascii="Times New Roman" w:eastAsia="Times New Roman" w:hAnsi="Times New Roman" w:cs="Times New Roman"/>
          <w:color w:val="000000"/>
          <w:spacing w:val="0"/>
          <w:w w:val="100"/>
          <w:position w:val="0"/>
          <w:shd w:val="clear" w:color="auto" w:fill="auto"/>
          <w:lang w:val="de-DE" w:eastAsia="de-DE" w:bidi="de-DE"/>
        </w:rPr>
        <w:t xml:space="preserve"> v.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de-DE" w:eastAsia="de-DE" w:bidi="de-DE"/>
        </w:rPr>
        <w:t xml:space="preserve">Kahle,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Textkritische . . . Bemerkungen . . </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Zeitsch. f. Assyr.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xvi., </w:t>
      </w:r>
      <w:r>
        <w:rPr>
          <w:rFonts w:ascii="Times New Roman" w:eastAsia="Times New Roman" w:hAnsi="Times New Roman" w:cs="Times New Roman"/>
          <w:color w:val="000000"/>
          <w:spacing w:val="0"/>
          <w:w w:val="100"/>
          <w:position w:val="0"/>
          <w:shd w:val="clear" w:color="auto" w:fill="auto"/>
          <w:lang w:val="de-DE" w:eastAsia="de-DE" w:bidi="de-DE"/>
        </w:rPr>
        <w:t xml:space="preserve">xvii. </w:t>
      </w:r>
      <w:r>
        <w:rPr>
          <w:rFonts w:ascii="Times New Roman" w:eastAsia="Times New Roman" w:hAnsi="Times New Roman" w:cs="Times New Roman"/>
          <w:color w:val="000000"/>
          <w:spacing w:val="0"/>
          <w:w w:val="100"/>
          <w:position w:val="0"/>
          <w:shd w:val="clear" w:color="auto" w:fill="auto"/>
          <w:lang w:val="en-US" w:eastAsia="en-US" w:bidi="en-US"/>
        </w:rPr>
        <w:t xml:space="preserve">Arabic version,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de-DE" w:eastAsia="de-DE" w:bidi="de-DE"/>
        </w:rPr>
        <w:t xml:space="preserve">Kuenen </w:t>
      </w:r>
      <w:r>
        <w:rPr>
          <w:rFonts w:ascii="Times New Roman" w:eastAsia="Times New Roman" w:hAnsi="Times New Roman" w:cs="Times New Roman"/>
          <w:color w:val="000000"/>
          <w:spacing w:val="0"/>
          <w:w w:val="100"/>
          <w:position w:val="0"/>
          <w:shd w:val="clear" w:color="auto" w:fill="auto"/>
          <w:lang w:val="en-US" w:eastAsia="en-US" w:bidi="en-US"/>
        </w:rPr>
        <w:t xml:space="preserve">(Gen.- Lev.), Lugd. Bat. (1851) ; cf. Bloch, </w:t>
      </w:r>
      <w:r>
        <w:rPr>
          <w:rFonts w:ascii="Times New Roman" w:eastAsia="Times New Roman" w:hAnsi="Times New Roman" w:cs="Times New Roman"/>
          <w:i/>
          <w:iCs/>
          <w:color w:val="000000"/>
          <w:spacing w:val="0"/>
          <w:w w:val="100"/>
          <w:position w:val="0"/>
          <w:shd w:val="clear" w:color="auto" w:fill="auto"/>
          <w:lang w:val="en-US" w:eastAsia="en-US" w:bidi="en-US"/>
        </w:rPr>
        <w:t>Die Sam.-arab. Pent.-ūberset- zung,</w:t>
      </w:r>
      <w:r>
        <w:rPr>
          <w:rFonts w:ascii="Times New Roman" w:eastAsia="Times New Roman" w:hAnsi="Times New Roman" w:cs="Times New Roman"/>
          <w:color w:val="000000"/>
          <w:spacing w:val="0"/>
          <w:w w:val="100"/>
          <w:position w:val="0"/>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lang w:val="fr-FR" w:eastAsia="fr-FR" w:bidi="fr-FR"/>
        </w:rPr>
        <w:t xml:space="preserve">eut. </w:t>
      </w:r>
      <w:r>
        <w:rPr>
          <w:rFonts w:ascii="Times New Roman" w:eastAsia="Times New Roman" w:hAnsi="Times New Roman" w:cs="Times New Roman"/>
          <w:color w:val="000000"/>
          <w:spacing w:val="0"/>
          <w:w w:val="100"/>
          <w:position w:val="0"/>
          <w:shd w:val="clear" w:color="auto" w:fill="auto"/>
          <w:lang w:val="en-US" w:eastAsia="en-US" w:bidi="en-US"/>
        </w:rPr>
        <w:t xml:space="preserve">i.-xi. </w:t>
      </w:r>
      <w:r>
        <w:rPr>
          <w:rFonts w:ascii="Times New Roman" w:eastAsia="Times New Roman" w:hAnsi="Times New Roman" w:cs="Times New Roman"/>
          <w:color w:val="000000"/>
          <w:spacing w:val="0"/>
          <w:w w:val="100"/>
          <w:position w:val="0"/>
          <w:shd w:val="clear" w:color="auto" w:fill="auto"/>
          <w:lang w:val="de-DE" w:eastAsia="de-DE" w:bidi="de-DE"/>
        </w:rPr>
        <w:t xml:space="preserve">(Berlin,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de-DE" w:eastAsia="de-DE" w:bidi="de-DE"/>
        </w:rPr>
        <w:t xml:space="preserve">Kahle,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arab. </w:t>
      </w:r>
      <w:r>
        <w:rPr>
          <w:rFonts w:ascii="Times New Roman" w:eastAsia="Times New Roman" w:hAnsi="Times New Roman" w:cs="Times New Roman"/>
          <w:i/>
          <w:iCs/>
          <w:color w:val="000000"/>
          <w:spacing w:val="0"/>
          <w:w w:val="100"/>
          <w:position w:val="0"/>
          <w:shd w:val="clear" w:color="auto" w:fill="auto"/>
          <w:lang w:val="de-DE" w:eastAsia="de-DE" w:bidi="de-DE"/>
        </w:rPr>
        <w:t xml:space="preserve">Bibelübersetzungen </w:t>
      </w:r>
      <w:r>
        <w:rPr>
          <w:rFonts w:ascii="Times New Roman" w:eastAsia="Times New Roman" w:hAnsi="Times New Roman" w:cs="Times New Roman"/>
          <w:color w:val="000000"/>
          <w:spacing w:val="0"/>
          <w:w w:val="100"/>
          <w:position w:val="0"/>
          <w:shd w:val="clear" w:color="auto" w:fill="auto"/>
          <w:lang w:val="en-US" w:eastAsia="en-US" w:bidi="en-US"/>
        </w:rPr>
        <w:t xml:space="preserve">(Leipzig, 1904); </w:t>
      </w:r>
      <w:r>
        <w:rPr>
          <w:rFonts w:ascii="Times New Roman" w:eastAsia="Times New Roman" w:hAnsi="Times New Roman" w:cs="Times New Roman"/>
          <w:color w:val="000000"/>
          <w:spacing w:val="0"/>
          <w:w w:val="100"/>
          <w:position w:val="0"/>
          <w:shd w:val="clear" w:color="auto" w:fill="auto"/>
          <w:lang w:val="de-DE" w:eastAsia="de-DE" w:bidi="de-DE"/>
        </w:rPr>
        <w:t xml:space="preserve">Heidenheim,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fr-FR" w:eastAsia="fr-FR" w:bidi="fr-FR"/>
        </w:rPr>
        <w:t>Commenter Marqahs</w:t>
      </w:r>
      <w:r>
        <w:rPr>
          <w:rFonts w:ascii="Times New Roman" w:eastAsia="Times New Roman" w:hAnsi="Times New Roman" w:cs="Times New Roman"/>
          <w:color w:val="000000"/>
          <w:spacing w:val="0"/>
          <w:w w:val="100"/>
          <w:position w:val="0"/>
          <w:shd w:val="clear" w:color="auto" w:fill="auto"/>
          <w:lang w:val="fr-FR" w:eastAsia="fr-FR" w:bidi="fr-FR"/>
        </w:rPr>
        <w:t xml:space="preserve"> (Weimar, </w:t>
      </w:r>
      <w:r>
        <w:rPr>
          <w:rFonts w:ascii="Times New Roman" w:eastAsia="Times New Roman" w:hAnsi="Times New Roman" w:cs="Times New Roman"/>
          <w:color w:val="000000"/>
          <w:spacing w:val="0"/>
          <w:w w:val="100"/>
          <w:position w:val="0"/>
          <w:shd w:val="clear" w:color="auto" w:fill="auto"/>
          <w:lang w:val="en-US" w:eastAsia="en-US" w:bidi="en-US"/>
        </w:rPr>
        <w:t xml:space="preserve">1896). </w:t>
      </w:r>
      <w:r>
        <w:rPr>
          <w:rFonts w:ascii="Times New Roman" w:eastAsia="Times New Roman" w:hAnsi="Times New Roman" w:cs="Times New Roman"/>
          <w:color w:val="000000"/>
          <w:spacing w:val="0"/>
          <w:w w:val="100"/>
          <w:position w:val="0"/>
          <w:shd w:val="clear" w:color="auto" w:fill="auto"/>
          <w:lang w:val="fr-FR" w:eastAsia="fr-FR" w:bidi="fr-FR"/>
        </w:rPr>
        <w:t xml:space="preserve">Parts </w:t>
      </w:r>
      <w:r>
        <w:rPr>
          <w:rFonts w:ascii="Times New Roman" w:eastAsia="Times New Roman" w:hAnsi="Times New Roman" w:cs="Times New Roman"/>
          <w:color w:val="000000"/>
          <w:spacing w:val="0"/>
          <w:w w:val="100"/>
          <w:position w:val="0"/>
          <w:shd w:val="clear" w:color="auto" w:fill="auto"/>
          <w:lang w:val="de-DE" w:eastAsia="de-DE" w:bidi="de-DE"/>
        </w:rPr>
        <w:t>also in</w:t>
      </w:r>
      <w:r>
        <w:rPr>
          <w:rFonts w:ascii="Times New Roman" w:eastAsia="Times New Roman" w:hAnsi="Times New Roman" w:cs="Times New Roman"/>
          <w:color w:val="000000"/>
          <w:spacing w:val="0"/>
          <w:w w:val="100"/>
          <w:position w:val="0"/>
          <w:shd w:val="clear" w:color="auto" w:fill="auto"/>
          <w:lang w:val="fr-FR" w:eastAsia="fr-FR" w:bidi="fr-FR"/>
        </w:rPr>
        <w:t xml:space="preserve"> dissertations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Baneth </w:t>
      </w:r>
      <w:r>
        <w:rPr>
          <w:rFonts w:ascii="Times New Roman" w:eastAsia="Times New Roman" w:hAnsi="Times New Roman" w:cs="Times New Roman"/>
          <w:color w:val="000000"/>
          <w:spacing w:val="0"/>
          <w:w w:val="100"/>
          <w:position w:val="0"/>
          <w:shd w:val="clear" w:color="auto" w:fill="auto"/>
          <w:lang w:val="en-US" w:eastAsia="en-US" w:bidi="en-US"/>
        </w:rPr>
        <w:t xml:space="preserve">(1888), </w:t>
      </w:r>
      <w:r>
        <w:rPr>
          <w:rFonts w:ascii="Times New Roman" w:eastAsia="Times New Roman" w:hAnsi="Times New Roman" w:cs="Times New Roman"/>
          <w:color w:val="000000"/>
          <w:spacing w:val="0"/>
          <w:w w:val="100"/>
          <w:position w:val="0"/>
          <w:shd w:val="clear" w:color="auto" w:fill="auto"/>
          <w:lang w:val="fr-FR" w:eastAsia="fr-FR" w:bidi="fr-FR"/>
        </w:rPr>
        <w:t xml:space="preserve">Munk </w:t>
      </w:r>
      <w:r>
        <w:rPr>
          <w:rFonts w:ascii="Times New Roman" w:eastAsia="Times New Roman" w:hAnsi="Times New Roman" w:cs="Times New Roman"/>
          <w:color w:val="000000"/>
          <w:spacing w:val="0"/>
          <w:w w:val="100"/>
          <w:position w:val="0"/>
          <w:shd w:val="clear" w:color="auto" w:fill="auto"/>
          <w:lang w:val="en-US" w:eastAsia="en-US" w:bidi="en-US"/>
        </w:rPr>
        <w:t xml:space="preserve">(1890), Emmerich (1897), </w:t>
      </w:r>
      <w:r>
        <w:rPr>
          <w:rFonts w:ascii="Times New Roman" w:eastAsia="Times New Roman" w:hAnsi="Times New Roman" w:cs="Times New Roman"/>
          <w:color w:val="000000"/>
          <w:spacing w:val="0"/>
          <w:w w:val="100"/>
          <w:position w:val="0"/>
          <w:shd w:val="clear" w:color="auto" w:fill="auto"/>
          <w:lang w:val="de-DE" w:eastAsia="de-DE" w:bidi="de-DE"/>
        </w:rPr>
        <w:t xml:space="preserve">Hildesheimer </w:t>
      </w:r>
      <w:r>
        <w:rPr>
          <w:rFonts w:ascii="Times New Roman" w:eastAsia="Times New Roman" w:hAnsi="Times New Roman" w:cs="Times New Roman"/>
          <w:color w:val="000000"/>
          <w:spacing w:val="0"/>
          <w:w w:val="100"/>
          <w:position w:val="0"/>
          <w:shd w:val="clear" w:color="auto" w:fill="auto"/>
          <w:lang w:val="en-US" w:eastAsia="en-US" w:bidi="en-US"/>
        </w:rPr>
        <w:t>(1898). Various texts and transla</w:t>
        <w:softHyphen/>
        <w:t xml:space="preserve">tions, mostly liturgical, in Heidenheim’s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Deutsche Vierteljahrsschrift </w:t>
      </w:r>
      <w:r>
        <w:rPr>
          <w:rFonts w:ascii="Times New Roman" w:eastAsia="Times New Roman" w:hAnsi="Times New Roman" w:cs="Times New Roman"/>
          <w:color w:val="000000"/>
          <w:spacing w:val="0"/>
          <w:w w:val="100"/>
          <w:position w:val="0"/>
          <w:shd w:val="clear" w:color="auto" w:fill="auto"/>
          <w:lang w:val="en-US" w:eastAsia="en-US" w:bidi="en-US"/>
        </w:rPr>
        <w:t xml:space="preserve">(Gotha, 1864-1865, Zurich 1867-?) often incorrect, cf. Geiger in </w:t>
      </w:r>
      <w:r>
        <w:rPr>
          <w:rFonts w:ascii="Times New Roman" w:eastAsia="Times New Roman" w:hAnsi="Times New Roman" w:cs="Times New Roman"/>
          <w:i/>
          <w:iCs/>
          <w:color w:val="000000"/>
          <w:spacing w:val="0"/>
          <w:w w:val="100"/>
          <w:position w:val="0"/>
          <w:shd w:val="clear" w:color="auto" w:fill="auto"/>
          <w:lang w:val="en-US" w:eastAsia="en-US" w:bidi="en-US"/>
        </w:rPr>
        <w:t>ZDMG,</w:t>
      </w:r>
      <w:r>
        <w:rPr>
          <w:rFonts w:ascii="Times New Roman" w:eastAsia="Times New Roman" w:hAnsi="Times New Roman" w:cs="Times New Roman"/>
          <w:color w:val="000000"/>
          <w:spacing w:val="0"/>
          <w:w w:val="100"/>
          <w:position w:val="0"/>
          <w:shd w:val="clear" w:color="auto" w:fill="auto"/>
          <w:lang w:val="en-US" w:eastAsia="en-US" w:bidi="en-US"/>
        </w:rPr>
        <w:t xml:space="preserve"> xvi.-xxii. Cowley, </w:t>
      </w:r>
      <w:r>
        <w:rPr>
          <w:rFonts w:ascii="Times New Roman" w:eastAsia="Times New Roman" w:hAnsi="Times New Roman" w:cs="Times New Roman"/>
          <w:i/>
          <w:iCs/>
          <w:color w:val="000000"/>
          <w:spacing w:val="0"/>
          <w:w w:val="100"/>
          <w:position w:val="0"/>
          <w:shd w:val="clear" w:color="auto" w:fill="auto"/>
          <w:lang w:val="en-US" w:eastAsia="en-US" w:bidi="en-US"/>
        </w:rPr>
        <w:t>The Samaritan Liturgy</w:t>
      </w:r>
      <w:r>
        <w:rPr>
          <w:rFonts w:ascii="Times New Roman" w:eastAsia="Times New Roman" w:hAnsi="Times New Roman" w:cs="Times New Roman"/>
          <w:color w:val="000000"/>
          <w:spacing w:val="0"/>
          <w:w w:val="100"/>
          <w:position w:val="0"/>
          <w:shd w:val="clear" w:color="auto" w:fill="auto"/>
          <w:lang w:val="en-US" w:eastAsia="en-US" w:bidi="en-US"/>
        </w:rPr>
        <w:t xml:space="preserve"> (Oxford, 1909), text and introduction. For editions of other works see the foregoing footnotes.</w:t>
        <w:tab/>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Cy.)</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SAMARIUM [symbol Sm, atomic weight 150∙4 (O=16)], a rare earth metal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Rare Earths).</w:t>
      </w:r>
      <w:r>
        <w:rPr>
          <w:rFonts w:ascii="Times New Roman" w:eastAsia="Times New Roman" w:hAnsi="Times New Roman" w:cs="Times New Roman"/>
          <w:color w:val="000000"/>
          <w:spacing w:val="0"/>
          <w:w w:val="100"/>
          <w:position w:val="0"/>
          <w:shd w:val="clear" w:color="auto" w:fill="auto"/>
          <w:lang w:val="en-US" w:eastAsia="en-US" w:bidi="en-US"/>
        </w:rPr>
        <w:t xml:space="preserve"> The separation has been worked at by A. v. </w:t>
      </w:r>
      <w:r>
        <w:rPr>
          <w:rFonts w:ascii="Times New Roman" w:eastAsia="Times New Roman" w:hAnsi="Times New Roman" w:cs="Times New Roman"/>
          <w:color w:val="000000"/>
          <w:spacing w:val="0"/>
          <w:w w:val="100"/>
          <w:position w:val="0"/>
          <w:shd w:val="clear" w:color="auto" w:fill="auto"/>
          <w:lang w:val="de-DE" w:eastAsia="de-DE" w:bidi="de-DE"/>
        </w:rPr>
        <w:t xml:space="preserve">Welsbach, </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Boisbaudran, </w:t>
      </w:r>
      <w:r>
        <w:rPr>
          <w:rFonts w:ascii="Times New Roman" w:eastAsia="Times New Roman" w:hAnsi="Times New Roman" w:cs="Times New Roman"/>
          <w:color w:val="000000"/>
          <w:spacing w:val="0"/>
          <w:w w:val="100"/>
          <w:position w:val="0"/>
          <w:shd w:val="clear" w:color="auto" w:fill="auto"/>
          <w:lang w:val="fr-FR" w:eastAsia="fr-FR" w:bidi="fr-FR"/>
        </w:rPr>
        <w:t xml:space="preserve">Urbain </w:t>
      </w:r>
      <w:r>
        <w:rPr>
          <w:rFonts w:ascii="Times New Roman" w:eastAsia="Times New Roman" w:hAnsi="Times New Roman" w:cs="Times New Roman"/>
          <w:color w:val="000000"/>
          <w:spacing w:val="0"/>
          <w:w w:val="100"/>
          <w:position w:val="0"/>
          <w:shd w:val="clear" w:color="auto" w:fill="auto"/>
          <w:lang w:val="en-US" w:eastAsia="en-US" w:bidi="en-US"/>
        </w:rPr>
        <w:t xml:space="preserve">and Lacombe </w:t>
      </w:r>
      <w:r>
        <w:rPr>
          <w:rFonts w:ascii="Times New Roman" w:eastAsia="Times New Roman" w:hAnsi="Times New Roman" w:cs="Times New Roman"/>
          <w:i/>
          <w:iCs/>
          <w:color w:val="000000"/>
          <w:spacing w:val="0"/>
          <w:w w:val="100"/>
          <w:position w:val="0"/>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1903, 137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568, 792); </w:t>
      </w:r>
      <w:r>
        <w:rPr>
          <w:rFonts w:ascii="Times New Roman" w:eastAsia="Times New Roman" w:hAnsi="Times New Roman" w:cs="Times New Roman"/>
          <w:color w:val="000000"/>
          <w:spacing w:val="0"/>
          <w:w w:val="100"/>
          <w:position w:val="0"/>
          <w:shd w:val="clear" w:color="auto" w:fill="auto"/>
          <w:lang w:val="fr-FR" w:eastAsia="fr-FR" w:bidi="fr-FR"/>
        </w:rPr>
        <w:t xml:space="preserve">Demarçay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1900, 130,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1019); Benedicks; </w:t>
      </w:r>
      <w:r>
        <w:rPr>
          <w:rFonts w:ascii="Times New Roman" w:eastAsia="Times New Roman" w:hAnsi="Times New Roman" w:cs="Times New Roman"/>
          <w:color w:val="000000"/>
          <w:spacing w:val="0"/>
          <w:w w:val="100"/>
          <w:position w:val="0"/>
          <w:shd w:val="clear" w:color="auto" w:fill="auto"/>
          <w:lang w:val="de-DE" w:eastAsia="de-DE" w:bidi="de-DE"/>
        </w:rPr>
        <w:t xml:space="preserve">Feit </w:t>
      </w:r>
      <w:r>
        <w:rPr>
          <w:rFonts w:ascii="Times New Roman" w:eastAsia="Times New Roman" w:hAnsi="Times New Roman" w:cs="Times New Roman"/>
          <w:color w:val="000000"/>
          <w:spacing w:val="0"/>
          <w:w w:val="100"/>
          <w:position w:val="0"/>
          <w:shd w:val="clear" w:color="auto" w:fill="auto"/>
          <w:lang w:val="en-US" w:eastAsia="en-US" w:bidi="en-US"/>
        </w:rPr>
        <w:t xml:space="preserve">and Przibylla </w:t>
      </w:r>
      <w:r>
        <w:rPr>
          <w:rFonts w:ascii="Times New Roman" w:eastAsia="Times New Roman" w:hAnsi="Times New Roman" w:cs="Times New Roman"/>
          <w:i/>
          <w:iCs/>
          <w:color w:val="000000"/>
          <w:spacing w:val="0"/>
          <w:w w:val="100"/>
          <w:position w:val="0"/>
          <w:shd w:val="clear" w:color="auto" w:fill="auto"/>
          <w:lang w:val="de-DE" w:eastAsia="de-DE" w:bidi="de-DE"/>
        </w:rPr>
        <w:t xml:space="preserve">(Zeit.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anorg. </w:t>
      </w:r>
      <w:r>
        <w:rPr>
          <w:rFonts w:ascii="Times New Roman" w:eastAsia="Times New Roman" w:hAnsi="Times New Roman" w:cs="Times New Roman"/>
          <w:i/>
          <w:iCs/>
          <w:color w:val="000000"/>
          <w:spacing w:val="0"/>
          <w:w w:val="100"/>
          <w:position w:val="0"/>
          <w:shd w:val="clear" w:color="auto" w:fill="auto"/>
          <w:lang w:val="fr-FR" w:eastAsia="fr-FR" w:bidi="fr-FR"/>
        </w:rPr>
        <w:t>Chem.,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1905, 43,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202) and others. The metal may be obtained by reduction of its oxide with magnesium. It combines with hydrogen to form a hydride. The salts are mostly of a yellowish colour. 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chloride,</w:t>
      </w:r>
      <w:r>
        <w:rPr>
          <w:rFonts w:ascii="Times New Roman" w:eastAsia="Times New Roman" w:hAnsi="Times New Roman" w:cs="Times New Roman"/>
          <w:color w:val="000000"/>
          <w:spacing w:val="0"/>
          <w:w w:val="100"/>
          <w:position w:val="0"/>
          <w:shd w:val="clear" w:color="auto" w:fill="auto"/>
          <w:lang w:val="en-US" w:eastAsia="en-US" w:bidi="en-US"/>
        </w:rPr>
        <w:t xml:space="preserve"> SmCl</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6H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is a deliquescent solid which when heated in hydrochloric acid gas to 180° C. yields the anhydrous chloride. This anhydrous chloride is reduced to a lower chloride, of composition SmCl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when heated to a high temperature in a current of hydrogen or ammonia </w:t>
      </w:r>
      <w:r>
        <w:rPr>
          <w:rFonts w:ascii="Times New Roman" w:eastAsia="Times New Roman" w:hAnsi="Times New Roman" w:cs="Times New Roman"/>
          <w:color w:val="000000"/>
          <w:spacing w:val="0"/>
          <w:w w:val="100"/>
          <w:position w:val="0"/>
          <w:shd w:val="clear" w:color="auto" w:fill="auto"/>
          <w:lang w:val="fr-FR" w:eastAsia="fr-FR" w:bidi="fr-FR"/>
        </w:rPr>
        <w:t xml:space="preserve">(Matignon </w:t>
      </w:r>
      <w:r>
        <w:rPr>
          <w:rFonts w:ascii="Times New Roman" w:eastAsia="Times New Roman" w:hAnsi="Times New Roman" w:cs="Times New Roman"/>
          <w:color w:val="000000"/>
          <w:spacing w:val="0"/>
          <w:w w:val="100"/>
          <w:position w:val="0"/>
          <w:shd w:val="clear" w:color="auto" w:fill="auto"/>
          <w:lang w:val="en-US" w:eastAsia="en-US" w:bidi="en-US"/>
        </w:rPr>
        <w:t xml:space="preserve">and Cazes,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Comptes rendus, </w:t>
      </w:r>
      <w:r>
        <w:rPr>
          <w:rFonts w:ascii="Times New Roman" w:eastAsia="Times New Roman" w:hAnsi="Times New Roman" w:cs="Times New Roman"/>
          <w:color w:val="000000"/>
          <w:spacing w:val="0"/>
          <w:w w:val="100"/>
          <w:position w:val="0"/>
          <w:shd w:val="clear" w:color="auto" w:fill="auto"/>
          <w:lang w:val="fr-FR" w:eastAsia="fr-FR" w:bidi="fr-FR"/>
        </w:rPr>
        <w:t>1906,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142,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183). The chloride, SmCl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is a brown crystalline powder which is decom- posed by water with liberation of hydrogen and the formation of the oxide, Sm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an oxychloride, SmOCl.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fluoride, </w:t>
      </w:r>
      <w:r>
        <w:rPr>
          <w:rFonts w:ascii="Times New Roman" w:eastAsia="Times New Roman" w:hAnsi="Times New Roman" w:cs="Times New Roman"/>
          <w:color w:val="000000"/>
          <w:spacing w:val="0"/>
          <w:w w:val="100"/>
          <w:position w:val="0"/>
          <w:shd w:val="clear" w:color="auto" w:fill="auto"/>
          <w:lang w:val="en-US" w:eastAsia="en-US" w:bidi="en-US"/>
        </w:rPr>
        <w:t>SmF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was prepared by H. Moissan by acting with fluorine on the carbide. The </w:t>
      </w:r>
      <w:r>
        <w:rPr>
          <w:rFonts w:ascii="Times New Roman" w:eastAsia="Times New Roman" w:hAnsi="Times New Roman" w:cs="Times New Roman"/>
          <w:i/>
          <w:iCs/>
          <w:color w:val="000000"/>
          <w:spacing w:val="0"/>
          <w:w w:val="100"/>
          <w:position w:val="0"/>
          <w:shd w:val="clear" w:color="auto" w:fill="auto"/>
          <w:lang w:val="en-US" w:eastAsia="en-US" w:bidi="en-US"/>
        </w:rPr>
        <w:t>sulphate,</w:t>
      </w:r>
      <w:r>
        <w:rPr>
          <w:rFonts w:ascii="Times New Roman" w:eastAsia="Times New Roman" w:hAnsi="Times New Roman" w:cs="Times New Roman"/>
          <w:color w:val="000000"/>
          <w:spacing w:val="0"/>
          <w:w w:val="100"/>
          <w:position w:val="0"/>
          <w:shd w:val="clear" w:color="auto" w:fill="auto"/>
          <w:lang w:val="en-US" w:eastAsia="en-US" w:bidi="en-US"/>
        </w:rPr>
        <w:t xml:space="preserve"> Sm </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.8H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is obtained by the action of sulphuric acid on the nitrate. It forms double salts with the alkaline sulphates. The </w:t>
      </w:r>
      <w:r>
        <w:rPr>
          <w:rFonts w:ascii="Times New Roman" w:eastAsia="Times New Roman" w:hAnsi="Times New Roman" w:cs="Times New Roman"/>
          <w:i/>
          <w:iCs/>
          <w:color w:val="000000"/>
          <w:spacing w:val="0"/>
          <w:w w:val="100"/>
          <w:position w:val="0"/>
          <w:shd w:val="clear" w:color="auto" w:fill="auto"/>
          <w:lang w:val="en-US" w:eastAsia="en-US" w:bidi="en-US"/>
        </w:rPr>
        <w:t>carbide,</w:t>
      </w:r>
      <w:r>
        <w:rPr>
          <w:rFonts w:ascii="Times New Roman" w:eastAsia="Times New Roman" w:hAnsi="Times New Roman" w:cs="Times New Roman"/>
          <w:color w:val="000000"/>
          <w:spacing w:val="0"/>
          <w:w w:val="100"/>
          <w:position w:val="0"/>
          <w:shd w:val="clear" w:color="auto" w:fill="auto"/>
          <w:lang w:val="en-US" w:eastAsia="en-US" w:bidi="en-US"/>
        </w:rPr>
        <w:t xml:space="preserve"> SmC2, is formed when the oxide is heated with carbon in the electric furnace.</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SAMARKAND, a province of Russian Turkestan, formerly </w:t>
      </w:r>
      <w:r>
        <w:rPr>
          <w:rFonts w:ascii="Times New Roman" w:eastAsia="Times New Roman" w:hAnsi="Times New Roman" w:cs="Times New Roman"/>
          <w:color w:val="000000"/>
          <w:spacing w:val="0"/>
          <w:w w:val="100"/>
          <w:position w:val="0"/>
          <w:shd w:val="clear" w:color="auto" w:fill="auto"/>
          <w:lang w:val="fr-FR" w:eastAsia="fr-FR" w:bidi="fr-FR"/>
        </w:rPr>
        <w:t xml:space="preserve">Zarafshan </w:t>
      </w:r>
      <w:r>
        <w:rPr>
          <w:rFonts w:ascii="Times New Roman" w:eastAsia="Times New Roman" w:hAnsi="Times New Roman" w:cs="Times New Roman"/>
          <w:color w:val="000000"/>
          <w:spacing w:val="0"/>
          <w:w w:val="100"/>
          <w:position w:val="0"/>
          <w:shd w:val="clear" w:color="auto" w:fill="auto"/>
          <w:lang w:val="en-US" w:eastAsia="en-US" w:bidi="en-US"/>
        </w:rPr>
        <w:t xml:space="preserve">or Zerafshan. It is the ancient Sogdiana and was known as Sughd to the Moslems of the middle ages. It has on the N. and N.E. the province of Syr-darya, on the E. Ferghana, on the W. Bokhara and on the S. the khanates of Hissar, Kara- teghin and Darvaz. Its area is 26,627 sq. m. It is very hilly in the S., where it is intersected by ranges belonging to the Alai system. The Hissar range is the water-parting between the </w:t>
      </w:r>
      <w:r>
        <w:rPr>
          <w:rFonts w:ascii="Times New Roman" w:eastAsia="Times New Roman" w:hAnsi="Times New Roman" w:cs="Times New Roman"/>
          <w:color w:val="000000"/>
          <w:spacing w:val="0"/>
          <w:w w:val="100"/>
          <w:position w:val="0"/>
          <w:shd w:val="clear" w:color="auto" w:fill="auto"/>
          <w:lang w:val="fr-FR" w:eastAsia="fr-FR" w:bidi="fr-FR"/>
        </w:rPr>
        <w:t xml:space="preserve">Zarafshan </w:t>
      </w:r>
      <w:r>
        <w:rPr>
          <w:rFonts w:ascii="Times New Roman" w:eastAsia="Times New Roman" w:hAnsi="Times New Roman" w:cs="Times New Roman"/>
          <w:color w:val="000000"/>
          <w:spacing w:val="0"/>
          <w:w w:val="100"/>
          <w:position w:val="0"/>
          <w:shd w:val="clear" w:color="auto" w:fill="auto"/>
          <w:lang w:val="en-US" w:eastAsia="en-US" w:bidi="en-US"/>
        </w:rPr>
        <w:t xml:space="preserve">and the upper tributaries of the Amu-darya; another high range, the </w:t>
      </w:r>
      <w:r>
        <w:rPr>
          <w:rFonts w:ascii="Times New Roman" w:eastAsia="Times New Roman" w:hAnsi="Times New Roman" w:cs="Times New Roman"/>
          <w:color w:val="000000"/>
          <w:spacing w:val="0"/>
          <w:w w:val="100"/>
          <w:position w:val="0"/>
          <w:shd w:val="clear" w:color="auto" w:fill="auto"/>
          <w:lang w:val="fr-FR" w:eastAsia="fr-FR" w:bidi="fr-FR"/>
        </w:rPr>
        <w:t xml:space="preserve">Zarafshan, </w:t>
      </w:r>
      <w:r>
        <w:rPr>
          <w:rFonts w:ascii="Times New Roman" w:eastAsia="Times New Roman" w:hAnsi="Times New Roman" w:cs="Times New Roman"/>
          <w:color w:val="000000"/>
          <w:spacing w:val="0"/>
          <w:w w:val="100"/>
          <w:position w:val="0"/>
          <w:shd w:val="clear" w:color="auto" w:fill="auto"/>
          <w:lang w:val="en-US" w:eastAsia="en-US" w:bidi="en-US"/>
        </w:rPr>
        <w:t xml:space="preserve">runs between the two parallel rivers, the </w:t>
      </w:r>
      <w:r>
        <w:rPr>
          <w:rFonts w:ascii="Times New Roman" w:eastAsia="Times New Roman" w:hAnsi="Times New Roman" w:cs="Times New Roman"/>
          <w:color w:val="000000"/>
          <w:spacing w:val="0"/>
          <w:w w:val="100"/>
          <w:position w:val="0"/>
          <w:shd w:val="clear" w:color="auto" w:fill="auto"/>
          <w:lang w:val="fr-FR" w:eastAsia="fr-FR" w:bidi="fr-FR"/>
        </w:rPr>
        <w:t xml:space="preserve">Zarafshan </w:t>
      </w:r>
      <w:r>
        <w:rPr>
          <w:rFonts w:ascii="Times New Roman" w:eastAsia="Times New Roman" w:hAnsi="Times New Roman" w:cs="Times New Roman"/>
          <w:color w:val="000000"/>
          <w:spacing w:val="0"/>
          <w:w w:val="100"/>
          <w:position w:val="0"/>
          <w:shd w:val="clear" w:color="auto" w:fill="auto"/>
          <w:lang w:val="en-US" w:eastAsia="en-US" w:bidi="en-US"/>
        </w:rPr>
        <w:t xml:space="preserve">and its tributary, the Yagnob; while a third range, often called the Turkestan chain, stretches W. to E. parallel to the </w:t>
      </w:r>
      <w:r>
        <w:rPr>
          <w:rFonts w:ascii="Times New Roman" w:eastAsia="Times New Roman" w:hAnsi="Times New Roman" w:cs="Times New Roman"/>
          <w:color w:val="000000"/>
          <w:spacing w:val="0"/>
          <w:w w:val="100"/>
          <w:position w:val="0"/>
          <w:shd w:val="clear" w:color="auto" w:fill="auto"/>
          <w:lang w:val="fr-FR" w:eastAsia="fr-FR" w:bidi="fr-FR"/>
        </w:rPr>
        <w:t xml:space="preserve">Zarafshan, </w:t>
      </w:r>
      <w:r>
        <w:rPr>
          <w:rFonts w:ascii="Times New Roman" w:eastAsia="Times New Roman" w:hAnsi="Times New Roman" w:cs="Times New Roman"/>
          <w:color w:val="000000"/>
          <w:spacing w:val="0"/>
          <w:w w:val="100"/>
          <w:position w:val="0"/>
          <w:shd w:val="clear" w:color="auto" w:fill="auto"/>
          <w:lang w:val="en-US" w:eastAsia="en-US" w:bidi="en-US"/>
        </w:rPr>
        <w:t xml:space="preserve">on its N. bank. It is very probable that the three ranges referred to really possess a much more complicated character than is supposed. All three ranges are snow-clad, and their highest peaks reach altitudes of 18,500 ft. in the W. and 22,000 ft. in the E., while the passes over them, which are difficult as a rule, lie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altitudes of 12,000 ft. Several Alpine lakes, such as Iskander-kul, 7000 ft. high, have been found under the precipitous peaks.</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Alpine zone extends as far N. as the 40th parallel, beyond which the province is steppe-land, broken by only one range of mountains, the Nuratyn-tau, also known as Sanzar and Malguzar in the S.E. and as Kara-tau in the N.W. This treeless range stretches 160 m. N.W., has a width of about 35 m. and reaches altitudes of 7000 ft. It is pierced, in the Sanzar gorge, or Tamer</w:t>
        <w:softHyphen/>
        <w:t>lane’s Gate, by the railway leading from Samarkand to Tashkent.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Except, of course, the Pentateuch itself (sec </w:t>
      </w:r>
      <w:r>
        <w:rPr>
          <w:rFonts w:ascii="Times New Roman" w:eastAsia="Times New Roman" w:hAnsi="Times New Roman" w:cs="Times New Roman"/>
          <w:smallCaps/>
          <w:color w:val="000000"/>
          <w:spacing w:val="0"/>
          <w:w w:val="100"/>
          <w:position w:val="0"/>
          <w:shd w:val="clear" w:color="auto" w:fill="auto"/>
          <w:lang w:val="en-US" w:eastAsia="en-US" w:bidi="en-US"/>
        </w:rPr>
        <w:t>Bible)</w:t>
      </w:r>
      <w:r>
        <w:rPr>
          <w:rFonts w:ascii="Times New Roman" w:eastAsia="Times New Roman" w:hAnsi="Times New Roman" w:cs="Times New Roman"/>
          <w:color w:val="000000"/>
          <w:spacing w:val="0"/>
          <w:w w:val="100"/>
          <w:position w:val="0"/>
          <w:shd w:val="clear" w:color="auto" w:fill="auto"/>
          <w:lang w:val="en-US" w:eastAsia="en-US" w:bidi="en-US"/>
        </w:rPr>
        <w:t xml:space="preserve"> which cannot be properly regarded as a Samaritan work.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So </w:t>
      </w:r>
      <w:r>
        <w:rPr>
          <w:rFonts w:ascii="Times New Roman" w:eastAsia="Times New Roman" w:hAnsi="Times New Roman" w:cs="Times New Roman"/>
          <w:color w:val="000000"/>
          <w:spacing w:val="0"/>
          <w:w w:val="100"/>
          <w:position w:val="0"/>
          <w:shd w:val="clear" w:color="auto" w:fill="auto"/>
          <w:lang w:val="de-DE" w:eastAsia="de-DE" w:bidi="de-DE"/>
        </w:rPr>
        <w:t xml:space="preserve">Kahle, </w:t>
      </w:r>
      <w:r>
        <w:rPr>
          <w:rFonts w:ascii="Times New Roman" w:eastAsia="Times New Roman" w:hAnsi="Times New Roman" w:cs="Times New Roman"/>
          <w:color w:val="000000"/>
          <w:spacing w:val="0"/>
          <w:w w:val="100"/>
          <w:position w:val="0"/>
          <w:shd w:val="clear" w:color="auto" w:fill="auto"/>
          <w:lang w:val="en-US" w:eastAsia="en-US" w:bidi="en-US"/>
        </w:rPr>
        <w:t>see the bibliography.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Neubauer in </w:t>
      </w:r>
      <w:r>
        <w:rPr>
          <w:rFonts w:ascii="Times New Roman" w:eastAsia="Times New Roman" w:hAnsi="Times New Roman" w:cs="Times New Roman"/>
          <w:i/>
          <w:iCs/>
          <w:color w:val="000000"/>
          <w:spacing w:val="0"/>
          <w:w w:val="100"/>
          <w:position w:val="0"/>
          <w:shd w:val="clear" w:color="auto" w:fill="auto"/>
          <w:lang w:val="en-US" w:eastAsia="en-US" w:bidi="en-US"/>
        </w:rPr>
        <w:t>Journ. asíat.</w:t>
      </w:r>
      <w:r>
        <w:rPr>
          <w:rFonts w:ascii="Times New Roman" w:eastAsia="Times New Roman" w:hAnsi="Times New Roman" w:cs="Times New Roman"/>
          <w:color w:val="000000"/>
          <w:spacing w:val="0"/>
          <w:w w:val="100"/>
          <w:position w:val="0"/>
          <w:shd w:val="clear" w:color="auto" w:fill="auto"/>
          <w:lang w:val="en-US" w:eastAsia="en-US" w:bidi="en-US"/>
        </w:rPr>
        <w:t xml:space="preserve"> (1873), p. 341.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See Wreschner,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Samaritanische </w:t>
      </w:r>
      <w:r>
        <w:rPr>
          <w:rFonts w:ascii="Times New Roman" w:eastAsia="Times New Roman" w:hAnsi="Times New Roman" w:cs="Times New Roman"/>
          <w:i/>
          <w:iCs/>
          <w:color w:val="000000"/>
          <w:spacing w:val="0"/>
          <w:w w:val="100"/>
          <w:position w:val="0"/>
          <w:shd w:val="clear" w:color="auto" w:fill="auto"/>
          <w:lang w:val="de-DE" w:eastAsia="de-DE" w:bidi="de-DE"/>
        </w:rPr>
        <w:t>Traditionen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(Berlin, 1888).</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Ed. by Neubauer in </w:t>
      </w:r>
      <w:r>
        <w:rPr>
          <w:rFonts w:ascii="Times New Roman" w:eastAsia="Times New Roman" w:hAnsi="Times New Roman" w:cs="Times New Roman"/>
          <w:i/>
          <w:iCs/>
          <w:color w:val="000000"/>
          <w:spacing w:val="0"/>
          <w:w w:val="100"/>
          <w:position w:val="0"/>
          <w:shd w:val="clear" w:color="auto" w:fill="auto"/>
          <w:lang w:val="en-US" w:eastAsia="en-US" w:bidi="en-US"/>
        </w:rPr>
        <w:t>Journ. asiat.</w:t>
      </w:r>
      <w:r>
        <w:rPr>
          <w:rFonts w:ascii="Times New Roman" w:eastAsia="Times New Roman" w:hAnsi="Times New Roman" w:cs="Times New Roman"/>
          <w:color w:val="000000"/>
          <w:spacing w:val="0"/>
          <w:w w:val="100"/>
          <w:position w:val="0"/>
          <w:shd w:val="clear" w:color="auto" w:fill="auto"/>
          <w:lang w:val="en-US" w:eastAsia="en-US" w:bidi="en-US"/>
        </w:rPr>
        <w:t xml:space="preserve"> (1869). The chronicle was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continued in 1346, and was subsequently brought down to 1856- 1857 by the present priest.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See Nöldeke, </w:t>
      </w:r>
      <w:r>
        <w:rPr>
          <w:rFonts w:ascii="Times New Roman" w:eastAsia="Times New Roman" w:hAnsi="Times New Roman" w:cs="Times New Roman"/>
          <w:i/>
          <w:iCs/>
          <w:color w:val="000000"/>
          <w:spacing w:val="0"/>
          <w:w w:val="100"/>
          <w:position w:val="0"/>
          <w:shd w:val="clear" w:color="auto" w:fill="auto"/>
          <w:lang w:val="en-US" w:eastAsia="en-US" w:bidi="en-US"/>
        </w:rPr>
        <w:t>Gott. Gel. Nachr.</w:t>
      </w:r>
      <w:r>
        <w:rPr>
          <w:rFonts w:ascii="Times New Roman" w:eastAsia="Times New Roman" w:hAnsi="Times New Roman" w:cs="Times New Roman"/>
          <w:color w:val="000000"/>
          <w:spacing w:val="0"/>
          <w:w w:val="100"/>
          <w:position w:val="0"/>
          <w:shd w:val="clear" w:color="auto" w:fill="auto"/>
          <w:lang w:val="en-US" w:eastAsia="en-US" w:bidi="en-US"/>
        </w:rPr>
        <w:t xml:space="preserve"> (1862), Nos. 17, 20.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i/>
          <w:iCs/>
          <w:color w:val="000000"/>
          <w:spacing w:val="0"/>
          <w:w w:val="100"/>
          <w:position w:val="0"/>
          <w:shd w:val="clear" w:color="auto" w:fill="auto"/>
          <w:lang w:val="en-US" w:eastAsia="en-US" w:bidi="en-US"/>
        </w:rPr>
        <w:t xml:space="preserve"> Chronicon Sam. . . . Liber Josuae</w:t>
      </w:r>
      <w:r>
        <w:rPr>
          <w:rFonts w:ascii="Times New Roman" w:eastAsia="Times New Roman" w:hAnsi="Times New Roman" w:cs="Times New Roman"/>
          <w:color w:val="000000"/>
          <w:spacing w:val="0"/>
          <w:w w:val="100"/>
          <w:position w:val="0"/>
          <w:shd w:val="clear" w:color="auto" w:fill="auto"/>
          <w:lang w:val="en-US" w:eastAsia="en-US" w:bidi="en-US"/>
        </w:rPr>
        <w:t xml:space="preserve"> (Lugd. Bat., 1848). It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narrates the history from the death of Moses to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and is derived from sources of various dates. A Hebrew book of Joshua announced by </w:t>
      </w:r>
      <w:r>
        <w:rPr>
          <w:rFonts w:ascii="Times New Roman" w:eastAsia="Times New Roman" w:hAnsi="Times New Roman" w:cs="Times New Roman"/>
          <w:color w:val="000000"/>
          <w:spacing w:val="0"/>
          <w:w w:val="100"/>
          <w:position w:val="0"/>
          <w:shd w:val="clear" w:color="auto" w:fill="auto"/>
          <w:lang w:val="de-DE" w:eastAsia="de-DE" w:bidi="de-DE"/>
        </w:rPr>
        <w:t xml:space="preserve">Gaster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of June 9, 1908, and published in </w:t>
      </w:r>
      <w:r>
        <w:rPr>
          <w:rFonts w:ascii="Times New Roman" w:eastAsia="Times New Roman" w:hAnsi="Times New Roman" w:cs="Times New Roman"/>
          <w:i/>
          <w:iCs/>
          <w:color w:val="000000"/>
          <w:spacing w:val="0"/>
          <w:w w:val="100"/>
          <w:position w:val="0"/>
          <w:shd w:val="clear" w:color="auto" w:fill="auto"/>
          <w:lang w:val="en-US" w:eastAsia="en-US" w:bidi="en-US"/>
        </w:rPr>
        <w:t>ZDMG,</w:t>
      </w:r>
      <w:r>
        <w:rPr>
          <w:rFonts w:ascii="Times New Roman" w:eastAsia="Times New Roman" w:hAnsi="Times New Roman" w:cs="Times New Roman"/>
          <w:color w:val="000000"/>
          <w:spacing w:val="0"/>
          <w:w w:val="100"/>
          <w:position w:val="0"/>
          <w:shd w:val="clear" w:color="auto" w:fill="auto"/>
          <w:lang w:val="en-US" w:eastAsia="en-US" w:bidi="en-US"/>
        </w:rPr>
        <w:t xml:space="preserve"> vol. 62 (1908) pt. ii., is a modern compilation; see Yahuda in </w:t>
      </w:r>
      <w:r>
        <w:rPr>
          <w:rFonts w:ascii="Times New Roman" w:eastAsia="Times New Roman" w:hAnsi="Times New Roman" w:cs="Times New Roman"/>
          <w:i/>
          <w:iCs/>
          <w:color w:val="000000"/>
          <w:spacing w:val="0"/>
          <w:w w:val="100"/>
          <w:position w:val="0"/>
          <w:shd w:val="clear" w:color="auto" w:fill="auto"/>
          <w:lang w:val="en-US" w:eastAsia="en-US" w:bidi="en-US"/>
        </w:rPr>
        <w:t>Sitsgsber.</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Kgl. Preuss. Akad.</w:t>
      </w:r>
      <w:r>
        <w:rPr>
          <w:rFonts w:ascii="Times New Roman" w:eastAsia="Times New Roman" w:hAnsi="Times New Roman" w:cs="Times New Roman"/>
          <w:color w:val="000000"/>
          <w:spacing w:val="0"/>
          <w:w w:val="100"/>
          <w:position w:val="0"/>
          <w:shd w:val="clear" w:color="auto" w:fill="auto"/>
          <w:lang w:val="en-US" w:eastAsia="en-US" w:bidi="en-US"/>
        </w:rPr>
        <w:t xml:space="preserve"> (1908), p. 887, and Gaster’s reply in </w:t>
      </w:r>
      <w:r>
        <w:rPr>
          <w:rFonts w:ascii="Times New Roman" w:eastAsia="Times New Roman" w:hAnsi="Times New Roman" w:cs="Times New Roman"/>
          <w:i/>
          <w:iCs/>
          <w:color w:val="000000"/>
          <w:spacing w:val="0"/>
          <w:w w:val="100"/>
          <w:position w:val="0"/>
          <w:shd w:val="clear" w:color="auto" w:fill="auto"/>
          <w:lang w:val="en-US" w:eastAsia="en-US" w:bidi="en-US"/>
        </w:rPr>
        <w:t>ZDMG,</w:t>
      </w:r>
      <w:r>
        <w:rPr>
          <w:rFonts w:ascii="Times New Roman" w:eastAsia="Times New Roman" w:hAnsi="Times New Roman" w:cs="Times New Roman"/>
          <w:color w:val="000000"/>
          <w:spacing w:val="0"/>
          <w:w w:val="100"/>
          <w:position w:val="0"/>
          <w:shd w:val="clear" w:color="auto" w:fill="auto"/>
          <w:lang w:val="en-US" w:eastAsia="en-US" w:bidi="en-US"/>
        </w:rPr>
        <w:t xml:space="preserve"> 62, pt. iii.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Ed. by </w:t>
      </w:r>
      <w:r>
        <w:rPr>
          <w:rFonts w:ascii="Times New Roman" w:eastAsia="Times New Roman" w:hAnsi="Times New Roman" w:cs="Times New Roman"/>
          <w:color w:val="000000"/>
          <w:spacing w:val="0"/>
          <w:w w:val="100"/>
          <w:position w:val="0"/>
          <w:shd w:val="clear" w:color="auto" w:fill="auto"/>
          <w:lang w:val="de-DE" w:eastAsia="de-DE" w:bidi="de-DE"/>
        </w:rPr>
        <w:t xml:space="preserve">Vilmar </w:t>
      </w:r>
      <w:r>
        <w:rPr>
          <w:rFonts w:ascii="Times New Roman" w:eastAsia="Times New Roman" w:hAnsi="Times New Roman" w:cs="Times New Roman"/>
          <w:color w:val="000000"/>
          <w:spacing w:val="0"/>
          <w:w w:val="100"/>
          <w:position w:val="0"/>
          <w:shd w:val="clear" w:color="auto" w:fill="auto"/>
          <w:lang w:val="en-US" w:eastAsia="en-US" w:bidi="en-US"/>
        </w:rPr>
        <w:t xml:space="preserve">(Gotha, 1865). Partly translated by Payne Smith in Heidenheim’s </w:t>
      </w:r>
      <w:r>
        <w:rPr>
          <w:rFonts w:ascii="Times New Roman" w:eastAsia="Times New Roman" w:hAnsi="Times New Roman" w:cs="Times New Roman"/>
          <w:i/>
          <w:iCs/>
          <w:color w:val="000000"/>
          <w:spacing w:val="0"/>
          <w:w w:val="100"/>
          <w:position w:val="0"/>
          <w:shd w:val="clear" w:color="auto" w:fill="auto"/>
          <w:lang w:val="de-DE" w:eastAsia="de-DE" w:bidi="de-DE"/>
        </w:rPr>
        <w:t>Vierteljahrsschrift,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vol. ii</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Leitner in </w:t>
      </w:r>
      <w:r>
        <w:rPr>
          <w:rFonts w:ascii="Times New Roman" w:eastAsia="Times New Roman" w:hAnsi="Times New Roman" w:cs="Times New Roman"/>
          <w:color w:val="000000"/>
          <w:spacing w:val="0"/>
          <w:w w:val="100"/>
          <w:position w:val="0"/>
          <w:shd w:val="clear" w:color="auto" w:fill="auto"/>
          <w:lang w:val="de-DE" w:eastAsia="de-DE" w:bidi="de-DE"/>
        </w:rPr>
        <w:t xml:space="preserve">Heid. </w:t>
      </w:r>
      <w:r>
        <w:rPr>
          <w:rFonts w:ascii="Times New Roman" w:eastAsia="Times New Roman" w:hAnsi="Times New Roman" w:cs="Times New Roman"/>
          <w:i/>
          <w:iCs/>
          <w:color w:val="000000"/>
          <w:spacing w:val="0"/>
          <w:w w:val="100"/>
          <w:position w:val="0"/>
          <w:shd w:val="clear" w:color="auto" w:fill="auto"/>
          <w:lang w:val="de-DE" w:eastAsia="de-DE" w:bidi="de-DE"/>
        </w:rPr>
        <w:t>Viert.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iv. 184,</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&amp;c.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An account of the work (of which the only MS. is in Berlin) was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given by Geiger in </w:t>
      </w:r>
      <w:r>
        <w:rPr>
          <w:rFonts w:ascii="Times New Roman" w:eastAsia="Times New Roman" w:hAnsi="Times New Roman" w:cs="Times New Roman"/>
          <w:i/>
          <w:iCs/>
          <w:color w:val="000000"/>
          <w:spacing w:val="0"/>
          <w:w w:val="100"/>
          <w:position w:val="0"/>
          <w:shd w:val="clear" w:color="auto" w:fill="auto"/>
          <w:lang w:val="en-US" w:eastAsia="en-US" w:bidi="en-US"/>
        </w:rPr>
        <w:t>ZDMG,</w:t>
      </w:r>
      <w:r>
        <w:rPr>
          <w:rFonts w:ascii="Times New Roman" w:eastAsia="Times New Roman" w:hAnsi="Times New Roman" w:cs="Times New Roman"/>
          <w:color w:val="000000"/>
          <w:spacing w:val="0"/>
          <w:w w:val="100"/>
          <w:position w:val="0"/>
          <w:shd w:val="clear" w:color="auto" w:fill="auto"/>
          <w:lang w:val="en-US" w:eastAsia="en-US" w:bidi="en-US"/>
        </w:rPr>
        <w:t xml:space="preserve"> xx. p. 143 and later. Parts of it were published as dissertations by Klumel in 1902 and Hanover 1904.</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Ed. by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N. Adler and M. </w:t>
      </w:r>
      <w:r>
        <w:rPr>
          <w:rFonts w:ascii="Times New Roman" w:eastAsia="Times New Roman" w:hAnsi="Times New Roman" w:cs="Times New Roman"/>
          <w:color w:val="000000"/>
          <w:spacing w:val="0"/>
          <w:w w:val="100"/>
          <w:position w:val="0"/>
          <w:shd w:val="clear" w:color="auto" w:fill="auto"/>
          <w:lang w:val="de-DE" w:eastAsia="de-DE" w:bidi="de-DE"/>
        </w:rPr>
        <w:t xml:space="preserve">Seligsohn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hd w:val="clear" w:color="auto" w:fill="auto"/>
          <w:lang w:val="fr-FR" w:eastAsia="fr-FR" w:bidi="fr-FR"/>
        </w:rPr>
        <w:t>juives,</w:t>
      </w:r>
      <w:r>
        <w:rPr>
          <w:rFonts w:ascii="Times New Roman" w:eastAsia="Times New Roman" w:hAnsi="Times New Roman" w:cs="Times New Roman"/>
          <w:color w:val="000000"/>
          <w:spacing w:val="0"/>
          <w:w w:val="100"/>
          <w:position w:val="0"/>
          <w:shd w:val="clear" w:color="auto" w:fill="auto"/>
          <w:lang w:val="fr-FR" w:eastAsia="fr-FR" w:bidi="fr-FR"/>
        </w:rPr>
        <w:t xml:space="preserve"> vols. </w:t>
      </w:r>
      <w:r>
        <w:rPr>
          <w:rFonts w:ascii="Times New Roman" w:eastAsia="Times New Roman" w:hAnsi="Times New Roman" w:cs="Times New Roman"/>
          <w:color w:val="000000"/>
          <w:spacing w:val="0"/>
          <w:w w:val="100"/>
          <w:position w:val="0"/>
          <w:shd w:val="clear" w:color="auto" w:fill="auto"/>
          <w:lang w:val="en-US" w:eastAsia="en-US" w:bidi="en-US"/>
        </w:rPr>
        <w:t>44-46.</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The same who compiled Gaster’s book of Joshua.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Mentioned by Yahuda,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p. 895, as existing in a Berlin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in </w:t>
      </w:r>
      <w:r>
        <w:rPr>
          <w:rFonts w:ascii="Times New Roman" w:eastAsia="Times New Roman" w:hAnsi="Times New Roman" w:cs="Times New Roman"/>
          <w:i/>
          <w:iCs/>
          <w:color w:val="000000"/>
          <w:spacing w:val="0"/>
          <w:w w:val="100"/>
          <w:position w:val="0"/>
          <w:shd w:val="clear" w:color="auto" w:fill="auto"/>
          <w:lang w:val="en-US" w:eastAsia="en-US" w:bidi="en-US"/>
        </w:rPr>
        <w:t>Bibliotheca sacra</w:t>
      </w:r>
      <w:r>
        <w:rPr>
          <w:rFonts w:ascii="Times New Roman" w:eastAsia="Times New Roman" w:hAnsi="Times New Roman" w:cs="Times New Roman"/>
          <w:color w:val="000000"/>
          <w:spacing w:val="0"/>
          <w:w w:val="100"/>
          <w:position w:val="0"/>
          <w:shd w:val="clear" w:color="auto" w:fill="auto"/>
          <w:lang w:val="en-US" w:eastAsia="en-US" w:bidi="en-US"/>
        </w:rPr>
        <w:t xml:space="preserve"> (1906), p. 385, &amp;c.</w:t>
      </w:r>
    </w:p>
    <w:p>
      <w:pPr>
        <w:widowControl w:val="0"/>
        <w:spacing w:line="1" w:lineRule="exact"/>
      </w:pPr>
    </w:p>
    <w:sectPr>
      <w:footnotePr>
        <w:pos w:val="pageBottom"/>
        <w:numFmt w:val="decimal"/>
        <w:numRestart w:val="continuous"/>
      </w:footnotePr>
      <w:type w:val="continuous"/>
      <w:pgSz w:w="12240" w:h="15840"/>
      <w:pgMar w:top="605" w:left="1199" w:right="589"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2">
    <w:name w:val="Body text_"/>
    <w:basedOn w:val="DefaultParagraphFont"/>
    <w:link w:val="Style11"/>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11">
    <w:name w:val="Body text"/>
    <w:basedOn w:val="Normal"/>
    <w:link w:val="CharStyle12"/>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