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delightful drawings. The design for the Diploma for the Fisheries Exhibition (1883) is of its kind one of the most extra</w:t>
        <w:softHyphen/>
        <w:t xml:space="preserve">ordinary things in English art. As a political designer, while distinguished for wit and force, he was invariably refined and good-humoured to the uttermost; yet it is essentially as an artist that he takes his highest place. He died on the 3rd of August </w:t>
      </w:r>
      <w:r>
        <w:rPr>
          <w:rFonts w:ascii="Times New Roman" w:eastAsia="Times New Roman" w:hAnsi="Times New Roman" w:cs="Times New Roman"/>
          <w:color w:val="000000"/>
          <w:spacing w:val="0"/>
          <w:w w:val="100"/>
          <w:position w:val="0"/>
          <w:sz w:val="18"/>
          <w:szCs w:val="18"/>
          <w:shd w:val="clear" w:color="auto" w:fill="auto"/>
          <w:lang w:val="en-US" w:eastAsia="en-US" w:bidi="en-US"/>
        </w:rPr>
        <w:t>1910.</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 H. </w:t>
      </w:r>
      <w:r>
        <w:rPr>
          <w:rFonts w:ascii="Times New Roman" w:eastAsia="Times New Roman" w:hAnsi="Times New Roman" w:cs="Times New Roman"/>
          <w:color w:val="000000"/>
          <w:spacing w:val="0"/>
          <w:w w:val="100"/>
          <w:position w:val="0"/>
          <w:shd w:val="clear" w:color="auto" w:fill="auto"/>
          <w:lang w:val="de-DE" w:eastAsia="de-DE" w:bidi="de-DE"/>
        </w:rPr>
        <w:t xml:space="preserve">Spielmann,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History of Punch</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SAMBUCA, </w:t>
      </w:r>
      <w:r>
        <w:rPr>
          <w:rFonts w:ascii="Times New Roman" w:eastAsia="Times New Roman" w:hAnsi="Times New Roman" w:cs="Times New Roman"/>
          <w:smallCaps/>
          <w:color w:val="000000"/>
          <w:spacing w:val="0"/>
          <w:w w:val="100"/>
          <w:position w:val="0"/>
          <w:shd w:val="clear" w:color="auto" w:fill="auto"/>
          <w:lang w:val="en-US" w:eastAsia="en-US" w:bidi="en-US"/>
        </w:rPr>
        <w:t>Sambute, sambiut, Sambue, Sambuque,</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stringed instrument of Asiatic origin generally supposed to be a small triangular harp of shrill tone (Arist. Quint. Meib. ii. p. 101). The sambuca was probably identical with the Phoenician </w:t>
      </w:r>
      <w:r>
        <w:rPr>
          <w:rFonts w:ascii="Times New Roman" w:eastAsia="Times New Roman" w:hAnsi="Times New Roman" w:cs="Times New Roman"/>
          <w:i/>
          <w:iCs/>
          <w:color w:val="000000"/>
          <w:spacing w:val="0"/>
          <w:w w:val="100"/>
          <w:position w:val="0"/>
          <w:shd w:val="clear" w:color="auto" w:fill="auto"/>
          <w:lang w:val="en-US" w:eastAsia="en-US" w:bidi="en-US"/>
        </w:rPr>
        <w:t>sabecha</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Aramaic </w:t>
      </w:r>
      <w:r>
        <w:rPr>
          <w:rFonts w:ascii="Times New Roman" w:eastAsia="Times New Roman" w:hAnsi="Times New Roman" w:cs="Times New Roman"/>
          <w:i/>
          <w:iCs/>
          <w:color w:val="000000"/>
          <w:spacing w:val="0"/>
          <w:w w:val="100"/>
          <w:position w:val="0"/>
          <w:shd w:val="clear" w:color="auto" w:fill="auto"/>
          <w:lang w:val="en-US" w:eastAsia="en-US" w:bidi="en-US"/>
        </w:rPr>
        <w:t>sabka,</w:t>
      </w:r>
      <w:r>
        <w:rPr>
          <w:rFonts w:ascii="Times New Roman" w:eastAsia="Times New Roman" w:hAnsi="Times New Roman" w:cs="Times New Roman"/>
          <w:color w:val="000000"/>
          <w:spacing w:val="0"/>
          <w:w w:val="100"/>
          <w:position w:val="0"/>
          <w:shd w:val="clear" w:color="auto" w:fill="auto"/>
          <w:lang w:val="en-US" w:eastAsia="en-US" w:bidi="en-US"/>
        </w:rPr>
        <w:t xml:space="preserve"> the Greek form being </w:t>
      </w:r>
      <w:r>
        <w:rPr>
          <w:rFonts w:ascii="Times New Roman" w:eastAsia="Times New Roman" w:hAnsi="Times New Roman" w:cs="Times New Roman"/>
          <w:i/>
          <w:iCs/>
          <w:color w:val="000000"/>
          <w:spacing w:val="0"/>
          <w:w w:val="100"/>
          <w:position w:val="0"/>
          <w:shd w:val="clear" w:color="auto" w:fill="auto"/>
          <w:lang w:val="en-US" w:eastAsia="en-US" w:bidi="en-US"/>
        </w:rPr>
        <w:t>σαμβύχη.</w:t>
      </w:r>
      <w:r>
        <w:rPr>
          <w:rFonts w:ascii="Times New Roman" w:eastAsia="Times New Roman" w:hAnsi="Times New Roman" w:cs="Times New Roman"/>
          <w:color w:val="000000"/>
          <w:spacing w:val="0"/>
          <w:w w:val="100"/>
          <w:position w:val="0"/>
          <w:shd w:val="clear" w:color="auto" w:fill="auto"/>
          <w:lang w:val="en-US" w:eastAsia="en-US" w:bidi="en-US"/>
        </w:rPr>
        <w:t xml:space="preserve"> The sabka is mentioned in Dan. iii. 5, 10, 15, where it is erroneously translated sackhut. The sambuca has been compared to the military engine of the same name by some classical writers; Polybius likens it to a rope ladder; others describe it as boat-shaped. Among the musical instruments known, the Egyptian </w:t>
      </w:r>
      <w:r>
        <w:rPr>
          <w:rFonts w:ascii="Times New Roman" w:eastAsia="Times New Roman" w:hAnsi="Times New Roman" w:cs="Times New Roman"/>
          <w:i/>
          <w:iCs/>
          <w:color w:val="000000"/>
          <w:spacing w:val="0"/>
          <w:w w:val="100"/>
          <w:position w:val="0"/>
          <w:shd w:val="clear" w:color="auto" w:fill="auto"/>
          <w:lang w:val="en-US" w:eastAsia="en-US" w:bidi="en-US"/>
        </w:rPr>
        <w:t>nanga</w:t>
      </w:r>
      <w:r>
        <w:rPr>
          <w:rFonts w:ascii="Times New Roman" w:eastAsia="Times New Roman" w:hAnsi="Times New Roman" w:cs="Times New Roman"/>
          <w:color w:val="000000"/>
          <w:spacing w:val="0"/>
          <w:w w:val="100"/>
          <w:position w:val="0"/>
          <w:shd w:val="clear" w:color="auto" w:fill="auto"/>
          <w:lang w:val="en-US" w:eastAsia="en-US" w:bidi="en-US"/>
        </w:rPr>
        <w:t xml:space="preserve"> best answers to these descriptions. These definitions are doubtless responsible for the medieval drawings representing the sambuca as a kind of tambourine,@@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de-DE" w:eastAsia="de-DE" w:bidi="de-DE"/>
        </w:rPr>
        <w:t xml:space="preserve">Isidor </w:t>
      </w:r>
      <w:r>
        <w:rPr>
          <w:rFonts w:ascii="Times New Roman" w:eastAsia="Times New Roman" w:hAnsi="Times New Roman" w:cs="Times New Roman"/>
          <w:color w:val="000000"/>
          <w:spacing w:val="0"/>
          <w:w w:val="100"/>
          <w:position w:val="0"/>
          <w:shd w:val="clear" w:color="auto" w:fill="auto"/>
          <w:lang w:val="en-US" w:eastAsia="en-US" w:bidi="en-US"/>
        </w:rPr>
        <w:t>elsewhere defines the symphonia as a tambourine. During the middle ages the word sambuca was applied (1) to a stringed instrument about which little can be discovered, (2) to a wind instrument made from the wood of the elder tree (</w:t>
      </w:r>
      <w:r>
        <w:rPr>
          <w:rFonts w:ascii="Times New Roman" w:eastAsia="Times New Roman" w:hAnsi="Times New Roman" w:cs="Times New Roman"/>
          <w:i/>
          <w:iCs/>
          <w:color w:val="000000"/>
          <w:spacing w:val="0"/>
          <w:w w:val="100"/>
          <w:position w:val="0"/>
          <w:shd w:val="clear" w:color="auto" w:fill="auto"/>
          <w:lang w:val="en-US" w:eastAsia="en-US" w:bidi="en-US"/>
        </w:rPr>
        <w:t>sambūcus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an old glossary (</w:t>
      </w:r>
      <w:r>
        <w:rPr>
          <w:rFonts w:ascii="Times New Roman" w:eastAsia="Times New Roman" w:hAnsi="Times New Roman" w:cs="Times New Roman"/>
          <w:i/>
          <w:iCs/>
          <w:color w:val="000000"/>
          <w:spacing w:val="0"/>
          <w:w w:val="100"/>
          <w:position w:val="0"/>
          <w:shd w:val="clear" w:color="auto" w:fill="auto"/>
          <w:lang w:val="de-DE" w:eastAsia="de-DE" w:bidi="de-DE"/>
        </w:rPr>
        <w:t>Fundgruben,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368), article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υloyt </w:t>
      </w:r>
      <w:r>
        <w:rPr>
          <w:rFonts w:ascii="Times New Roman" w:eastAsia="Times New Roman" w:hAnsi="Times New Roman" w:cs="Times New Roman"/>
          <w:color w:val="000000"/>
          <w:spacing w:val="0"/>
          <w:w w:val="100"/>
          <w:position w:val="0"/>
          <w:shd w:val="clear" w:color="auto" w:fill="auto"/>
          <w:lang w:val="en-US" w:eastAsia="en-US" w:bidi="en-US"/>
        </w:rPr>
        <w:t xml:space="preserve">(flute), the sambuca is said to be a kind of flute. “ Sambuca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vel </w:t>
      </w:r>
      <w:r>
        <w:rPr>
          <w:rFonts w:ascii="Times New Roman" w:eastAsia="Times New Roman" w:hAnsi="Times New Roman" w:cs="Times New Roman"/>
          <w:color w:val="000000"/>
          <w:spacing w:val="0"/>
          <w:w w:val="100"/>
          <w:position w:val="0"/>
          <w:shd w:val="clear" w:color="auto" w:fill="auto"/>
          <w:lang w:val="en-US" w:eastAsia="en-US" w:bidi="en-US"/>
        </w:rPr>
        <w:t xml:space="preserve">sambucus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quaedam arbor </w:t>
      </w:r>
      <w:r>
        <w:rPr>
          <w:rFonts w:ascii="Times New Roman" w:eastAsia="Times New Roman" w:hAnsi="Times New Roman" w:cs="Times New Roman"/>
          <w:color w:val="000000"/>
          <w:spacing w:val="0"/>
          <w:w w:val="100"/>
          <w:position w:val="0"/>
          <w:shd w:val="clear" w:color="auto" w:fill="auto"/>
          <w:lang w:val="de-DE" w:eastAsia="de-DE" w:bidi="de-DE"/>
        </w:rPr>
        <w:t xml:space="preserve">parva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mollis, unde haec sambuca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quaedam species symphoniae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fit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illa </w:t>
      </w:r>
      <w:r>
        <w:rPr>
          <w:rFonts w:ascii="Times New Roman" w:eastAsia="Times New Roman" w:hAnsi="Times New Roman" w:cs="Times New Roman"/>
          <w:color w:val="000000"/>
          <w:spacing w:val="0"/>
          <w:w w:val="100"/>
          <w:position w:val="0"/>
          <w:shd w:val="clear" w:color="auto" w:fill="auto"/>
          <w:lang w:val="fr-FR" w:eastAsia="fr-FR" w:bidi="fr-FR"/>
        </w:rPr>
        <w:t xml:space="preserve">arbore.” </w:t>
      </w:r>
      <w:r>
        <w:rPr>
          <w:rFonts w:ascii="Times New Roman" w:eastAsia="Times New Roman" w:hAnsi="Times New Roman" w:cs="Times New Roman"/>
          <w:color w:val="000000"/>
          <w:spacing w:val="0"/>
          <w:w w:val="100"/>
          <w:position w:val="0"/>
          <w:shd w:val="clear" w:color="auto" w:fill="auto"/>
          <w:lang w:val="de-DE" w:eastAsia="de-DE" w:bidi="de-DE"/>
        </w:rPr>
        <w:t xml:space="preserve">Isidor </w:t>
      </w:r>
      <w:r>
        <w:rPr>
          <w:rFonts w:ascii="Times New Roman" w:eastAsia="Times New Roman" w:hAnsi="Times New Roman" w:cs="Times New Roman"/>
          <w:color w:val="000000"/>
          <w:spacing w:val="0"/>
          <w:w w:val="100"/>
          <w:position w:val="0"/>
          <w:shd w:val="clear" w:color="auto" w:fill="auto"/>
          <w:lang w:val="en-US" w:eastAsia="en-US" w:bidi="en-US"/>
        </w:rPr>
        <w:t xml:space="preserve">of Seville </w:t>
      </w:r>
      <w:r>
        <w:rPr>
          <w:rFonts w:ascii="Times New Roman" w:eastAsia="Times New Roman" w:hAnsi="Times New Roman" w:cs="Times New Roman"/>
          <w:i/>
          <w:iCs/>
          <w:color w:val="000000"/>
          <w:spacing w:val="0"/>
          <w:w w:val="100"/>
          <w:position w:val="0"/>
          <w:shd w:val="clear" w:color="auto" w:fill="auto"/>
          <w:lang w:val="en-US" w:eastAsia="en-US" w:bidi="en-US"/>
        </w:rPr>
        <w:t>(Etym.</w:t>
      </w:r>
      <w:r>
        <w:rPr>
          <w:rFonts w:ascii="Times New Roman" w:eastAsia="Times New Roman" w:hAnsi="Times New Roman" w:cs="Times New Roman"/>
          <w:color w:val="000000"/>
          <w:spacing w:val="0"/>
          <w:w w:val="100"/>
          <w:position w:val="0"/>
          <w:shd w:val="clear" w:color="auto" w:fill="auto"/>
          <w:lang w:val="en-US" w:eastAsia="en-US" w:bidi="en-US"/>
        </w:rPr>
        <w:t xml:space="preserve"> 2. 20) describes it as “ Sambuca in musicis species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symphoniarum.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enim genus ligni fragilis unde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tibiae componuntur. ” In a glossary by Papias of Lombardy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1053), first printed at Milan in 1476, the sambuca is described as a cithara, which in that century was generally glossed “ harp,”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Sambuca, genus cytherae rusticae.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Tristan</w:t>
      </w:r>
      <w:r>
        <w:rPr>
          <w:rFonts w:ascii="Times New Roman" w:eastAsia="Times New Roman" w:hAnsi="Times New Roman" w:cs="Times New Roman"/>
          <w:color w:val="000000"/>
          <w:spacing w:val="0"/>
          <w:w w:val="100"/>
          <w:position w:val="0"/>
          <w:shd w:val="clear" w:color="auto" w:fill="auto"/>
          <w:lang w:val="en-US" w:eastAsia="en-US" w:bidi="en-US"/>
        </w:rPr>
        <w:t xml:space="preserve"> (7563-72) the knight is enumerating to King </w:t>
      </w:r>
      <w:r>
        <w:rPr>
          <w:rFonts w:ascii="Times New Roman" w:eastAsia="Times New Roman" w:hAnsi="Times New Roman" w:cs="Times New Roman"/>
          <w:color w:val="000000"/>
          <w:spacing w:val="0"/>
          <w:w w:val="100"/>
          <w:position w:val="0"/>
          <w:shd w:val="clear" w:color="auto" w:fill="auto"/>
          <w:lang w:val="de-DE" w:eastAsia="de-DE" w:bidi="de-DE"/>
        </w:rPr>
        <w:t xml:space="preserve">Marke </w:t>
      </w:r>
      <w:r>
        <w:rPr>
          <w:rFonts w:ascii="Times New Roman" w:eastAsia="Times New Roman" w:hAnsi="Times New Roman" w:cs="Times New Roman"/>
          <w:color w:val="000000"/>
          <w:spacing w:val="0"/>
          <w:w w:val="100"/>
          <w:position w:val="0"/>
          <w:shd w:val="clear" w:color="auto" w:fill="auto"/>
          <w:lang w:val="en-US" w:eastAsia="en-US" w:bidi="en-US"/>
        </w:rPr>
        <w:t xml:space="preserve">all the instruments upon which he can play, the </w:t>
      </w:r>
      <w:r>
        <w:rPr>
          <w:rFonts w:ascii="Times New Roman" w:eastAsia="Times New Roman" w:hAnsi="Times New Roman" w:cs="Times New Roman"/>
          <w:i/>
          <w:iCs/>
          <w:color w:val="000000"/>
          <w:spacing w:val="0"/>
          <w:w w:val="100"/>
          <w:position w:val="0"/>
          <w:shd w:val="clear" w:color="auto" w:fill="auto"/>
          <w:lang w:val="en-US" w:eastAsia="en-US" w:bidi="en-US"/>
        </w:rPr>
        <w:t>sambiut</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last mentioned:</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Waz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 xml:space="preserve">daz, </w:t>
      </w:r>
      <w:r>
        <w:rPr>
          <w:rFonts w:ascii="Times New Roman" w:eastAsia="Times New Roman" w:hAnsi="Times New Roman" w:cs="Times New Roman"/>
          <w:color w:val="000000"/>
          <w:spacing w:val="0"/>
          <w:w w:val="100"/>
          <w:position w:val="0"/>
          <w:shd w:val="clear" w:color="auto" w:fill="auto"/>
          <w:lang w:val="de-DE" w:eastAsia="de-DE" w:bidi="de-DE"/>
        </w:rPr>
        <w:t>lieber mann?</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—Daz </w:t>
      </w:r>
      <w:r>
        <w:rPr>
          <w:rFonts w:ascii="Times New Roman" w:eastAsia="Times New Roman" w:hAnsi="Times New Roman" w:cs="Times New Roman"/>
          <w:color w:val="000000"/>
          <w:spacing w:val="0"/>
          <w:w w:val="100"/>
          <w:position w:val="0"/>
          <w:shd w:val="clear" w:color="auto" w:fill="auto"/>
          <w:lang w:val="fr-FR" w:eastAsia="fr-FR" w:bidi="fr-FR"/>
        </w:rPr>
        <w:t xml:space="preserve">veste </w:t>
      </w:r>
      <w:r>
        <w:rPr>
          <w:rFonts w:ascii="Times New Roman" w:eastAsia="Times New Roman" w:hAnsi="Times New Roman" w:cs="Times New Roman"/>
          <w:color w:val="000000"/>
          <w:spacing w:val="0"/>
          <w:w w:val="100"/>
          <w:position w:val="0"/>
          <w:shd w:val="clear" w:color="auto" w:fill="auto"/>
          <w:lang w:val="en-US" w:eastAsia="en-US" w:bidi="en-US"/>
        </w:rPr>
        <w:t xml:space="preserve">Seitspiel daz </w:t>
      </w:r>
      <w:r>
        <w:rPr>
          <w:rFonts w:ascii="Times New Roman" w:eastAsia="Times New Roman" w:hAnsi="Times New Roman" w:cs="Times New Roman"/>
          <w:color w:val="000000"/>
          <w:spacing w:val="0"/>
          <w:w w:val="100"/>
          <w:position w:val="0"/>
          <w:shd w:val="clear" w:color="auto" w:fill="auto"/>
          <w:lang w:val="de-DE" w:eastAsia="de-DE" w:bidi="de-DE"/>
        </w:rPr>
        <w:t>ich kann.”</w:t>
      </w:r>
    </w:p>
    <w:p>
      <w:pPr>
        <w:pStyle w:val="Style3"/>
        <w:keepNext w:val="0"/>
        <w:keepLines w:val="0"/>
        <w:widowControl w:val="0"/>
        <w:shd w:val="clear" w:color="auto" w:fill="auto"/>
        <w:tabs>
          <w:tab w:pos="4337"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Latin-French glossary (M.S. at Montpelier, H. 110, fol. 212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Psalterium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sambue. During the later middle ages sambuca was often translated sackbut in the vocabularies, whether merely from the phonetic similarity of the two words has not yet been established. The great Boulogne Psalter (xi. c.) contains, among other fanciful instruments which are evidently intended to illustrate the equally vague and fanciful descriptions of instruments in the apocryphal letter of S. Jerome,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 Dardanum,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Sambuca,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resembles a somewhat primitive sackbut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without the bell joint. It is reproduced by Coussemaker, Lacroix and Viollet-le-Duc, and has given rise to endless discussions without leading to any satisfactory solution.</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(K.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SAMLAND, a peninsula of Germany, in the province of East Prussia, on the Baltic. It separates the Frisches Haff on the W. from the Kurisches Haff on the N.E., and is bounded on the S. by the river Pregel and on the E. by the Deime. Its shape is oblong; it is 43 m. long, and 18 broad, and has an area of 900 sq. m. The surface is mostly flat, but on the W. sand-hills rise to a height of 300 ft. The chief product is amber. The former episcopal see of Samland was founded by Pope Innocent IV. in 1249 and subordinated to the archbishop of Riga. Bishop Georg von Polentz embraced the Reformation in 1523, and in 1525 the district was incorporated with the duchy of Prussia.</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Reusch,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Sagen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preussischen Samlandes</w:t>
      </w:r>
      <w:r>
        <w:rPr>
          <w:rFonts w:ascii="Times New Roman" w:eastAsia="Times New Roman" w:hAnsi="Times New Roman" w:cs="Times New Roman"/>
          <w:color w:val="000000"/>
          <w:spacing w:val="0"/>
          <w:w w:val="100"/>
          <w:position w:val="0"/>
          <w:shd w:val="clear" w:color="auto" w:fill="auto"/>
          <w:lang w:val="en-US" w:eastAsia="en-US" w:bidi="en-US"/>
        </w:rPr>
        <w:t xml:space="preserve"> (2nd ed., Königs</w:t>
        <w:softHyphen/>
        <w:t xml:space="preserve">berg, 1863); Jankowsky,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Das Samland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Bevölkerung </w:t>
      </w:r>
      <w:r>
        <w:rPr>
          <w:rFonts w:ascii="Times New Roman" w:eastAsia="Times New Roman" w:hAnsi="Times New Roman" w:cs="Times New Roman"/>
          <w:color w:val="000000"/>
          <w:spacing w:val="0"/>
          <w:w w:val="100"/>
          <w:position w:val="0"/>
          <w:shd w:val="clear" w:color="auto" w:fill="auto"/>
          <w:lang w:val="en-US" w:eastAsia="en-US" w:bidi="en-US"/>
        </w:rPr>
        <w:t xml:space="preserve">(Königsberg, 1902); Hensel,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Samland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Wegweiser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(4th ed., Königs</w:t>
        <w:softHyphen/>
        <w:t xml:space="preserve">berg, 1905); and the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Urkundenbuch des Bistums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Samland,</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Wölky and Mendthal (Leipzig, 1891-1904).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SAMNAN, </w:t>
      </w:r>
      <w:r>
        <w:rPr>
          <w:rFonts w:ascii="Times New Roman" w:eastAsia="Times New Roman" w:hAnsi="Times New Roman" w:cs="Times New Roman"/>
          <w:smallCaps/>
          <w:color w:val="000000"/>
          <w:spacing w:val="0"/>
          <w:w w:val="100"/>
          <w:position w:val="0"/>
          <w:shd w:val="clear" w:color="auto" w:fill="auto"/>
          <w:lang w:val="en-US" w:eastAsia="en-US" w:bidi="en-US"/>
        </w:rPr>
        <w:t>Simnλn,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Semnan,</w:t>
      </w:r>
      <w:r>
        <w:rPr>
          <w:rFonts w:ascii="Times New Roman" w:eastAsia="Times New Roman" w:hAnsi="Times New Roman" w:cs="Times New Roman"/>
          <w:color w:val="000000"/>
          <w:spacing w:val="0"/>
          <w:w w:val="100"/>
          <w:position w:val="0"/>
          <w:shd w:val="clear" w:color="auto" w:fill="auto"/>
          <w:lang w:val="en-US" w:eastAsia="en-US" w:bidi="en-US"/>
        </w:rPr>
        <w:t xml:space="preserve"> a small province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Persia, which, including the city and district of Damghan, is generally known as “ Samnan </w:t>
      </w:r>
      <w:r>
        <w:rPr>
          <w:rFonts w:ascii="Times New Roman" w:eastAsia="Times New Roman" w:hAnsi="Times New Roman" w:cs="Times New Roman"/>
          <w:color w:val="000000"/>
          <w:spacing w:val="0"/>
          <w:w w:val="100"/>
          <w:position w:val="0"/>
          <w:shd w:val="clear" w:color="auto" w:fill="auto"/>
          <w:lang w:val="fr-FR" w:eastAsia="fr-FR" w:bidi="fr-FR"/>
        </w:rPr>
        <w:t xml:space="preserve">va </w:t>
      </w:r>
      <w:r>
        <w:rPr>
          <w:rFonts w:ascii="Times New Roman" w:eastAsia="Times New Roman" w:hAnsi="Times New Roman" w:cs="Times New Roman"/>
          <w:color w:val="000000"/>
          <w:spacing w:val="0"/>
          <w:w w:val="100"/>
          <w:position w:val="0"/>
          <w:shd w:val="clear" w:color="auto" w:fill="auto"/>
          <w:lang w:val="en-US" w:eastAsia="en-US" w:bidi="en-US"/>
        </w:rPr>
        <w:t>Damghan. ” It is bounded on the W. by the districts of Khar (the ancient Choara) and Firuzkuh, on the N. by Mazandaran, and on the E. by Shahrud and Bostam. In the S. it extends beyond the oasis of Jendek in the desert N. of Yezd. Its northern part is still known as Komush or Komish, the ancient Commisene. The revenue amounts to about £7000 per annum.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Samnan,</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province, is situated 145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Teheran, on the high road thence to Meshed, at an altitude of 3740 ft. in 35° 34' N., 53° 22' E. It has a population of about 10,000, post and telegraph offices, and a fine minaret, built in the 12th century. It exports pistachios, almonds and coarse tobacco. A dialect with many old Persian forms and resembling the Mazandaran dialect is spoken.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Houtum-Schindler, “ </w:t>
      </w:r>
      <w:r>
        <w:rPr>
          <w:rFonts w:ascii="Times New Roman" w:eastAsia="Times New Roman" w:hAnsi="Times New Roman" w:cs="Times New Roman"/>
          <w:color w:val="000000"/>
          <w:spacing w:val="0"/>
          <w:w w:val="100"/>
          <w:position w:val="0"/>
          <w:shd w:val="clear" w:color="auto" w:fill="auto"/>
          <w:lang w:val="de-DE" w:eastAsia="de-DE" w:bidi="de-DE"/>
        </w:rPr>
        <w:t xml:space="preserve">Bericht über </w:t>
      </w:r>
      <w:r>
        <w:rPr>
          <w:rFonts w:ascii="Times New Roman" w:eastAsia="Times New Roman" w:hAnsi="Times New Roman" w:cs="Times New Roman"/>
          <w:color w:val="000000"/>
          <w:spacing w:val="0"/>
          <w:w w:val="100"/>
          <w:position w:val="0"/>
          <w:shd w:val="clear" w:color="auto" w:fill="auto"/>
          <w:lang w:val="en-US" w:eastAsia="en-US" w:bidi="en-US"/>
        </w:rPr>
        <w:t xml:space="preserve">d. Samnán Dialect,”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Zeitsch. d. morgenl. </w:t>
      </w:r>
      <w:r>
        <w:rPr>
          <w:rFonts w:ascii="Times New Roman" w:eastAsia="Times New Roman" w:hAnsi="Times New Roman" w:cs="Times New Roman"/>
          <w:i/>
          <w:iCs/>
          <w:color w:val="000000"/>
          <w:spacing w:val="0"/>
          <w:w w:val="100"/>
          <w:position w:val="0"/>
          <w:shd w:val="clear" w:color="auto" w:fill="auto"/>
          <w:lang w:val="de-DE" w:eastAsia="de-DE" w:bidi="de-DE"/>
        </w:rPr>
        <w:t>Gesellschaft,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xxxii. (1878).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SAMNITES, the name given by the Romans to the warlike tribes inhabiting the mountainous centre of the S. half of Italy. The word </w:t>
      </w:r>
      <w:r>
        <w:rPr>
          <w:rFonts w:ascii="Times New Roman" w:eastAsia="Times New Roman" w:hAnsi="Times New Roman" w:cs="Times New Roman"/>
          <w:i/>
          <w:iCs/>
          <w:color w:val="000000"/>
          <w:spacing w:val="0"/>
          <w:w w:val="100"/>
          <w:position w:val="0"/>
          <w:shd w:val="clear" w:color="auto" w:fill="auto"/>
          <w:lang w:val="en-US" w:eastAsia="en-US" w:bidi="en-US"/>
        </w:rPr>
        <w:t>Samnites</w:t>
      </w:r>
      <w:r>
        <w:rPr>
          <w:rFonts w:ascii="Times New Roman" w:eastAsia="Times New Roman" w:hAnsi="Times New Roman" w:cs="Times New Roman"/>
          <w:color w:val="000000"/>
          <w:spacing w:val="0"/>
          <w:w w:val="100"/>
          <w:position w:val="0"/>
          <w:shd w:val="clear" w:color="auto" w:fill="auto"/>
          <w:lang w:val="en-US" w:eastAsia="en-US" w:bidi="en-US"/>
        </w:rPr>
        <w:t xml:space="preserve"> was not the name, so far as we know, used by the Samnites themselves, which would seem rather to have been (the Oscan form of) the word which in Latin appears as Sabini (see below). The ending of </w:t>
      </w:r>
      <w:r>
        <w:rPr>
          <w:rFonts w:ascii="Times New Roman" w:eastAsia="Times New Roman" w:hAnsi="Times New Roman" w:cs="Times New Roman"/>
          <w:i/>
          <w:iCs/>
          <w:color w:val="000000"/>
          <w:spacing w:val="0"/>
          <w:w w:val="100"/>
          <w:position w:val="0"/>
          <w:shd w:val="clear" w:color="auto" w:fill="auto"/>
          <w:lang w:val="en-US" w:eastAsia="en-US" w:bidi="en-US"/>
        </w:rPr>
        <w:t>Samnites</w:t>
      </w:r>
      <w:r>
        <w:rPr>
          <w:rFonts w:ascii="Times New Roman" w:eastAsia="Times New Roman" w:hAnsi="Times New Roman" w:cs="Times New Roman"/>
          <w:color w:val="000000"/>
          <w:spacing w:val="0"/>
          <w:w w:val="100"/>
          <w:position w:val="0"/>
          <w:shd w:val="clear" w:color="auto" w:fill="auto"/>
          <w:lang w:val="en-US" w:eastAsia="en-US" w:bidi="en-US"/>
        </w:rPr>
        <w:t xml:space="preserve"> seems to be con</w:t>
        <w:softHyphen/>
        <w:t>nected with the name by which they were known to the Greeks of the Campanian coast, which by the time of Polybius had become ∑αυίται; and it is in connexion with the Greeks of Cumae and Naples that we first hear of the collision between Rome and the Samnites.@@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We know both from tradition and from surviving inscriptions (see </w:t>
      </w:r>
      <w:r>
        <w:rPr>
          <w:rFonts w:ascii="Times New Roman" w:eastAsia="Times New Roman" w:hAnsi="Times New Roman" w:cs="Times New Roman"/>
          <w:smallCaps/>
          <w:color w:val="000000"/>
          <w:spacing w:val="0"/>
          <w:w w:val="100"/>
          <w:position w:val="0"/>
          <w:shd w:val="clear" w:color="auto" w:fill="auto"/>
          <w:lang w:val="en-US" w:eastAsia="en-US" w:bidi="en-US"/>
        </w:rPr>
        <w:t>Osca Lingua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Conway, </w:t>
      </w:r>
      <w:r>
        <w:rPr>
          <w:rFonts w:ascii="Times New Roman" w:eastAsia="Times New Roman" w:hAnsi="Times New Roman" w:cs="Times New Roman"/>
          <w:i/>
          <w:iCs/>
          <w:color w:val="000000"/>
          <w:spacing w:val="0"/>
          <w:w w:val="100"/>
          <w:position w:val="0"/>
          <w:shd w:val="clear" w:color="auto" w:fill="auto"/>
          <w:lang w:val="en-US" w:eastAsia="en-US" w:bidi="en-US"/>
        </w:rPr>
        <w:t>The Italic Dialects,</w:t>
      </w:r>
      <w:r>
        <w:rPr>
          <w:rFonts w:ascii="Times New Roman" w:eastAsia="Times New Roman" w:hAnsi="Times New Roman" w:cs="Times New Roman"/>
          <w:color w:val="000000"/>
          <w:spacing w:val="0"/>
          <w:w w:val="100"/>
          <w:position w:val="0"/>
          <w:shd w:val="clear" w:color="auto" w:fill="auto"/>
          <w:lang w:val="en-US" w:eastAsia="en-US" w:bidi="en-US"/>
        </w:rPr>
        <w:t xml:space="preserve"> pp. 169 to 206) that they spoke Oscan; and tradition records that the Samnites were an offshoot of the Sabines (see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Festus, p. 326 Mueller). On two inscriptions, of which one is unfortunately incomplete, and the other is the •legend on a coin of the Social War, we have the form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Safinim, </w:t>
      </w:r>
      <w:r>
        <w:rPr>
          <w:rFonts w:ascii="Times New Roman" w:eastAsia="Times New Roman" w:hAnsi="Times New Roman" w:cs="Times New Roman"/>
          <w:color w:val="000000"/>
          <w:spacing w:val="0"/>
          <w:w w:val="100"/>
          <w:position w:val="0"/>
          <w:shd w:val="clear" w:color="auto" w:fill="auto"/>
          <w:lang w:val="en-US" w:eastAsia="en-US" w:bidi="en-US"/>
        </w:rPr>
        <w:t xml:space="preserve">which would be in Latin </w:t>
      </w:r>
      <w:r>
        <w:rPr>
          <w:rFonts w:ascii="Times New Roman" w:eastAsia="Times New Roman" w:hAnsi="Times New Roman" w:cs="Times New Roman"/>
          <w:i/>
          <w:iCs/>
          <w:color w:val="000000"/>
          <w:spacing w:val="0"/>
          <w:w w:val="100"/>
          <w:position w:val="0"/>
          <w:shd w:val="clear" w:color="auto" w:fill="auto"/>
          <w:lang w:val="en-US" w:eastAsia="en-US" w:bidi="en-US"/>
        </w:rPr>
        <w:t>*Sabinium,</w:t>
      </w:r>
      <w:r>
        <w:rPr>
          <w:rFonts w:ascii="Times New Roman" w:eastAsia="Times New Roman" w:hAnsi="Times New Roman" w:cs="Times New Roman"/>
          <w:color w:val="000000"/>
          <w:spacing w:val="0"/>
          <w:w w:val="100"/>
          <w:position w:val="0"/>
          <w:shd w:val="clear" w:color="auto" w:fill="auto"/>
          <w:lang w:val="en-US" w:eastAsia="en-US" w:bidi="en-US"/>
        </w:rPr>
        <w:t xml:space="preserve"> and is best regarded as the nominative or accusative singular, neuter or masculine, agreeing with some substantive understood, such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nummum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Conway, ibid. pp. 188 and 216).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abundance of the ethnica ending in the suffix in all the Samnite districts classes them unmistakably with the great Safine stock, so that linguistic evidence confirms tradition (see further </w:t>
      </w:r>
      <w:r>
        <w:rPr>
          <w:rFonts w:ascii="Times New Roman" w:eastAsia="Times New Roman" w:hAnsi="Times New Roman" w:cs="Times New Roman"/>
          <w:smallCaps/>
          <w:color w:val="000000"/>
          <w:spacing w:val="0"/>
          <w:w w:val="100"/>
          <w:position w:val="0"/>
          <w:shd w:val="clear" w:color="auto" w:fill="auto"/>
          <w:lang w:val="en-US" w:eastAsia="en-US" w:bidi="en-US"/>
        </w:rPr>
        <w:t>Sabini).</w:t>
      </w:r>
      <w:r>
        <w:rPr>
          <w:rFonts w:ascii="Times New Roman" w:eastAsia="Times New Roman" w:hAnsi="Times New Roman" w:cs="Times New Roman"/>
          <w:color w:val="000000"/>
          <w:spacing w:val="0"/>
          <w:w w:val="100"/>
          <w:position w:val="0"/>
          <w:shd w:val="clear" w:color="auto" w:fill="auto"/>
          <w:lang w:val="en-US" w:eastAsia="en-US" w:bidi="en-US"/>
        </w:rPr>
        <w:t xml:space="preserve"> The Samnites arc thus shown to be intimately related to the patrician class at Rome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hd w:val="clear" w:color="auto" w:fill="auto"/>
          <w:lang w:val="en-US" w:eastAsia="en-US" w:bidi="en-US"/>
        </w:rPr>
        <w:t>history, ad init.);</w:t>
      </w:r>
      <w:r>
        <w:rPr>
          <w:rFonts w:ascii="Times New Roman" w:eastAsia="Times New Roman" w:hAnsi="Times New Roman" w:cs="Times New Roman"/>
          <w:color w:val="000000"/>
          <w:spacing w:val="0"/>
          <w:w w:val="100"/>
          <w:position w:val="0"/>
          <w:shd w:val="clear" w:color="auto" w:fill="auto"/>
          <w:lang w:val="en-US" w:eastAsia="en-US" w:bidi="en-US"/>
        </w:rPr>
        <w:t xml:space="preserve"> so that it was against their own stock that’ the Romans had to fight their hardest struggle for the lordship of Italy, a struggle which might never have arisen but for the geographical accident by which the Etruscan and Greek settle</w:t>
        <w:softHyphen/>
        <w:t>ments of Campania divided into two halves the Safine settle</w:t>
        <w:softHyphen/>
        <w:t>ments in central Italy.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longest and most important monument of the Oscan language, as it was spoken by the Samnites (in, probably,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 the small bronze tablet, engraved on both sides, known as the </w:t>
      </w:r>
      <w:r>
        <w:rPr>
          <w:rFonts w:ascii="Times New Roman" w:eastAsia="Times New Roman" w:hAnsi="Times New Roman" w:cs="Times New Roman"/>
          <w:i/>
          <w:iCs/>
          <w:color w:val="000000"/>
          <w:spacing w:val="0"/>
          <w:w w:val="100"/>
          <w:position w:val="0"/>
          <w:shd w:val="clear" w:color="auto" w:fill="auto"/>
          <w:lang w:val="en-US" w:eastAsia="en-US" w:bidi="en-US"/>
        </w:rPr>
        <w:t>Tabula Agnonensis,</w:t>
      </w:r>
      <w:r>
        <w:rPr>
          <w:rFonts w:ascii="Times New Roman" w:eastAsia="Times New Roman" w:hAnsi="Times New Roman" w:cs="Times New Roman"/>
          <w:color w:val="000000"/>
          <w:spacing w:val="0"/>
          <w:w w:val="100"/>
          <w:position w:val="0"/>
          <w:shd w:val="clear" w:color="auto" w:fill="auto"/>
          <w:lang w:val="en-US" w:eastAsia="en-US" w:bidi="en-US"/>
        </w:rPr>
        <w:t xml:space="preserve"> found in 1848 at the modern village Agnone, in the heart of the Samnite district, not very far from the site of Bovianum, which was the centre of the N. group of Samnites called Pentri (see below). This inscription, now preserved in the British Museum, is carefully engraved in full Oscan alphabet, and perfectly legible (facsimile given by Mommsen, </w:t>
      </w:r>
      <w:r>
        <w:rPr>
          <w:rFonts w:ascii="Times New Roman" w:eastAsia="Times New Roman" w:hAnsi="Times New Roman" w:cs="Times New Roman"/>
          <w:i/>
          <w:iCs/>
          <w:color w:val="000000"/>
          <w:spacing w:val="0"/>
          <w:w w:val="100"/>
          <w:position w:val="0"/>
          <w:shd w:val="clear" w:color="auto" w:fill="auto"/>
          <w:lang w:val="de-DE" w:eastAsia="de-DE" w:bidi="de-DE"/>
        </w:rPr>
        <w:t>Unteritalische Dialekte,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Taf. 7, and by I. Zvetaieff, </w:t>
      </w:r>
      <w:r>
        <w:rPr>
          <w:rFonts w:ascii="Times New Roman" w:eastAsia="Times New Roman" w:hAnsi="Times New Roman" w:cs="Times New Roman"/>
          <w:i/>
          <w:iCs/>
          <w:color w:val="000000"/>
          <w:spacing w:val="0"/>
          <w:w w:val="100"/>
          <w:position w:val="0"/>
          <w:shd w:val="clear" w:color="auto" w:fill="auto"/>
          <w:lang w:val="en-US" w:eastAsia="en-US" w:bidi="en-US"/>
        </w:rPr>
        <w:t>Sylloge inscriptionum Oscarum).</w:t>
      </w:r>
      <w:r>
        <w:rPr>
          <w:rFonts w:ascii="Times New Roman" w:eastAsia="Times New Roman" w:hAnsi="Times New Roman" w:cs="Times New Roman"/>
          <w:color w:val="000000"/>
          <w:spacing w:val="0"/>
          <w:w w:val="100"/>
          <w:position w:val="0"/>
          <w:shd w:val="clear" w:color="auto" w:fill="auto"/>
          <w:lang w:val="en-US" w:eastAsia="en-US" w:bidi="en-US"/>
        </w:rPr>
        <w:t xml:space="preserve"> The text and commentary will be found in Conway,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191: it contains a list of deities to whom statues were erected in the precinct sacred to Ceres, or some allied divinity, and on the back a list of deities to whom altars were erected in the same place. Among those whose names are immediately intelligible may be mentioned those of “Jove the Ruler ” and of “ Hercules Cerealis.” The other names are full of interest for the student of both the languages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Michael Praetorius,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Synt.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(Wolfenbüttel, 1618), p. 248 and pl. 42, where the illustration resembles a tambourine, but the description mentions strings, showing that the author himself was puzzled.</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the difficult questions involved in the obscure and frag</w:t>
        <w:softHyphen/>
        <w:t xml:space="preserve">mentary accounts of the so-called First Samnite War, which ended in 341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reader is referred to J. Beloch,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Companien,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ed., pp. 442 ff., and to the commentators on Livy vii. 29 ff.</w:t>
      </w:r>
    </w:p>
    <w:p>
      <w:pPr>
        <w:widowControl w:val="0"/>
        <w:spacing w:line="1" w:lineRule="exact"/>
      </w:pPr>
    </w:p>
    <w:sectPr>
      <w:footnotePr>
        <w:pos w:val="pageBottom"/>
        <w:numFmt w:val="decimal"/>
        <w:numRestart w:val="continuous"/>
      </w:footnotePr>
      <w:type w:val="continuous"/>
      <w:pgSz w:w="12240" w:h="15840"/>
      <w:pgMar w:top="788" w:left="978" w:right="868" w:bottom="7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