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narrated in the chapters immediately </w:t>
      </w:r>
      <w:r>
        <w:rPr>
          <w:rFonts w:ascii="Times New Roman" w:eastAsia="Times New Roman" w:hAnsi="Times New Roman" w:cs="Times New Roman"/>
          <w:color w:val="000000"/>
          <w:spacing w:val="0"/>
          <w:w w:val="100"/>
          <w:position w:val="0"/>
          <w:shd w:val="clear" w:color="auto" w:fill="auto"/>
          <w:lang w:val="en-US" w:eastAsia="en-US" w:bidi="en-US"/>
        </w:rPr>
        <w:t xml:space="preserve">following (Judg. </w:t>
      </w:r>
      <w:r>
        <w:rPr>
          <w:rFonts w:ascii="Times New Roman" w:eastAsia="Times New Roman" w:hAnsi="Times New Roman" w:cs="Times New Roman"/>
          <w:color w:val="000000"/>
          <w:spacing w:val="0"/>
          <w:w w:val="100"/>
          <w:position w:val="0"/>
          <w:shd w:val="clear" w:color="auto" w:fill="auto"/>
          <w:lang w:val="en-US" w:eastAsia="en-US" w:bidi="en-US"/>
        </w:rPr>
        <w:t>xvii.-xviii.).</w:t>
      </w:r>
    </w:p>
    <w:p>
      <w:pPr>
        <w:pStyle w:val="Style7"/>
        <w:keepNext w:val="0"/>
        <w:keepLines w:val="0"/>
        <w:widowControl w:val="0"/>
        <w:shd w:val="clear" w:color="auto" w:fill="auto"/>
        <w:tabs>
          <w:tab w:pos="4092"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mythological interpretations, see further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de-DE" w:eastAsia="de-DE" w:bidi="de-DE"/>
        </w:rPr>
        <w:t xml:space="preserve">Stucken,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Mitteil.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Vorderasiat. </w:t>
      </w:r>
      <w:r>
        <w:rPr>
          <w:rFonts w:ascii="Times New Roman" w:eastAsia="Times New Roman" w:hAnsi="Times New Roman" w:cs="Times New Roman"/>
          <w:i/>
          <w:iCs/>
          <w:color w:val="000000"/>
          <w:spacing w:val="0"/>
          <w:w w:val="100"/>
          <w:position w:val="0"/>
          <w:shd w:val="clear" w:color="auto" w:fill="auto"/>
          <w:lang w:val="en-US" w:eastAsia="en-US" w:bidi="en-US"/>
        </w:rPr>
        <w:t>Gesells.</w:t>
      </w:r>
      <w:r>
        <w:rPr>
          <w:rFonts w:ascii="Times New Roman" w:eastAsia="Times New Roman" w:hAnsi="Times New Roman" w:cs="Times New Roman"/>
          <w:color w:val="000000"/>
          <w:spacing w:val="0"/>
          <w:w w:val="100"/>
          <w:position w:val="0"/>
          <w:shd w:val="clear" w:color="auto" w:fill="auto"/>
          <w:lang w:val="en-US" w:eastAsia="en-US" w:bidi="en-US"/>
        </w:rPr>
        <w:t xml:space="preserve"> (1902), iv. </w:t>
      </w:r>
      <w:r>
        <w:rPr>
          <w:rFonts w:ascii="Times New Roman" w:eastAsia="Times New Roman" w:hAnsi="Times New Roman" w:cs="Times New Roman"/>
          <w:color w:val="000000"/>
          <w:spacing w:val="0"/>
          <w:w w:val="100"/>
          <w:position w:val="0"/>
          <w:shd w:val="clear" w:color="auto" w:fill="auto"/>
          <w:lang w:val="en-US" w:eastAsia="en-US" w:bidi="en-US"/>
        </w:rPr>
        <w:t xml:space="preserve">54 </w:t>
      </w:r>
      <w:r>
        <w:rPr>
          <w:rFonts w:ascii="Times New Roman" w:eastAsia="Times New Roman" w:hAnsi="Times New Roman" w:cs="Times New Roman"/>
          <w:color w:val="000000"/>
          <w:spacing w:val="0"/>
          <w:w w:val="100"/>
          <w:position w:val="0"/>
          <w:shd w:val="clear" w:color="auto" w:fill="auto"/>
          <w:lang w:val="en-US" w:eastAsia="en-US" w:bidi="en-US"/>
        </w:rPr>
        <w:t xml:space="preserve">(with references); </w:t>
      </w:r>
      <w:r>
        <w:rPr>
          <w:rFonts w:ascii="Times New Roman" w:eastAsia="Times New Roman" w:hAnsi="Times New Roman" w:cs="Times New Roman"/>
          <w:color w:val="000000"/>
          <w:spacing w:val="0"/>
          <w:w w:val="100"/>
          <w:position w:val="0"/>
          <w:shd w:val="clear" w:color="auto" w:fill="auto"/>
          <w:lang w:val="de-DE" w:eastAsia="de-DE" w:bidi="de-DE"/>
        </w:rPr>
        <w:t xml:space="preserve">Völter,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Ägypten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Bibel</w:t>
      </w:r>
      <w:r>
        <w:rPr>
          <w:rFonts w:ascii="Times New Roman" w:eastAsia="Times New Roman" w:hAnsi="Times New Roman" w:cs="Times New Roman"/>
          <w:color w:val="000000"/>
          <w:spacing w:val="0"/>
          <w:w w:val="100"/>
          <w:position w:val="0"/>
          <w:shd w:val="clear" w:color="auto" w:fill="auto"/>
          <w:lang w:val="de-DE" w:eastAsia="de-DE" w:bidi="de-DE"/>
        </w:rPr>
        <w:t xml:space="preserve"> (Leiden, </w:t>
      </w:r>
      <w:r>
        <w:rPr>
          <w:rFonts w:ascii="Times New Roman" w:eastAsia="Times New Roman" w:hAnsi="Times New Roman" w:cs="Times New Roman"/>
          <w:color w:val="000000"/>
          <w:spacing w:val="0"/>
          <w:w w:val="100"/>
          <w:position w:val="0"/>
          <w:shd w:val="clear" w:color="auto" w:fill="auto"/>
          <w:lang w:val="en-US" w:eastAsia="en-US" w:bidi="en-US"/>
        </w:rPr>
        <w:t>1909), pp</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119-132;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Jeremias, </w:t>
      </w:r>
      <w:r>
        <w:rPr>
          <w:rFonts w:ascii="Times New Roman" w:eastAsia="Times New Roman" w:hAnsi="Times New Roman" w:cs="Times New Roman"/>
          <w:i/>
          <w:iCs/>
          <w:color w:val="000000"/>
          <w:spacing w:val="0"/>
          <w:w w:val="100"/>
          <w:position w:val="0"/>
          <w:shd w:val="clear" w:color="auto" w:fill="auto"/>
          <w:lang w:val="de-DE" w:eastAsia="de-DE" w:bidi="de-DE"/>
        </w:rPr>
        <w:t>Alte Testament im Lichte des alten Orients</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478 sqq., and the commentaries on the  </w:t>
      </w:r>
      <w:r>
        <w:rPr>
          <w:rFonts w:ascii="Times New Roman" w:eastAsia="Times New Roman" w:hAnsi="Times New Roman" w:cs="Times New Roman"/>
          <w:color w:val="000000"/>
          <w:spacing w:val="0"/>
          <w:w w:val="100"/>
          <w:position w:val="0"/>
          <w:shd w:val="clear" w:color="auto" w:fill="auto"/>
          <w:lang w:val="en-US" w:eastAsia="en-US" w:bidi="en-US"/>
        </w:rPr>
        <w:t xml:space="preserve">Book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Judges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tab/>
        <w:t>(S. A.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SAMSON </w:t>
      </w:r>
      <w:r>
        <w:rPr>
          <w:rFonts w:ascii="Times New Roman" w:eastAsia="Times New Roman" w:hAnsi="Times New Roman" w:cs="Times New Roman"/>
          <w:color w:val="000000"/>
          <w:spacing w:val="0"/>
          <w:w w:val="100"/>
          <w:position w:val="0"/>
          <w:shd w:val="clear" w:color="auto" w:fill="auto"/>
          <w:lang w:val="en-US" w:eastAsia="en-US" w:bidi="en-US"/>
        </w:rPr>
        <w:t xml:space="preserve">(1135-1211), abbot of St Edmund’s, was educated in </w:t>
      </w:r>
      <w:r>
        <w:rPr>
          <w:rFonts w:ascii="Times New Roman" w:eastAsia="Times New Roman" w:hAnsi="Times New Roman" w:cs="Times New Roman"/>
          <w:color w:val="000000"/>
          <w:spacing w:val="0"/>
          <w:w w:val="100"/>
          <w:position w:val="0"/>
          <w:shd w:val="clear" w:color="auto" w:fill="auto"/>
          <w:lang w:val="en-US" w:eastAsia="en-US" w:bidi="en-US"/>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and became a teacher in Norfolk, the county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birth. In 1166 he entered the great Benedictine abbey of St Edmund’s as a monk and was chosen abbot in February 1182. He was a careful and vigilant guardian of the property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abbey, but he found time to attend royal councils and to take part in public business; also he was frequently entrusted with commissions from the pope. During the absence of Richard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from England he acted with vigour against John and visited the king in his prison in Germany. He did some building at the abbey, where he died on the 30th of December 1211. </w:t>
      </w:r>
      <w:r>
        <w:rPr>
          <w:rFonts w:ascii="Times New Roman" w:eastAsia="Times New Roman" w:hAnsi="Times New Roman" w:cs="Times New Roman"/>
          <w:color w:val="000000"/>
          <w:spacing w:val="0"/>
          <w:w w:val="100"/>
          <w:position w:val="0"/>
          <w:shd w:val="clear" w:color="auto" w:fill="auto"/>
          <w:lang w:val="en-US" w:eastAsia="en-US" w:bidi="en-US"/>
        </w:rPr>
        <w:t xml:space="preserve">Samson is </w:t>
      </w:r>
      <w:r>
        <w:rPr>
          <w:rFonts w:ascii="Times New Roman" w:eastAsia="Times New Roman" w:hAnsi="Times New Roman" w:cs="Times New Roman"/>
          <w:color w:val="000000"/>
          <w:spacing w:val="0"/>
          <w:w w:val="100"/>
          <w:position w:val="0"/>
          <w:shd w:val="clear" w:color="auto" w:fill="auto"/>
          <w:lang w:val="en-US" w:eastAsia="en-US" w:bidi="en-US"/>
        </w:rPr>
        <w:t xml:space="preserve">famous for the encouragement which he gave to the town of Bury St Edmunds, the liberties of which he extended in spite of his own monks. His name is most familiar owing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references to him in Carlyle’s </w:t>
      </w:r>
      <w:r>
        <w:rPr>
          <w:rFonts w:ascii="Times New Roman" w:eastAsia="Times New Roman" w:hAnsi="Times New Roman" w:cs="Times New Roman"/>
          <w:i/>
          <w:iCs/>
          <w:color w:val="000000"/>
          <w:spacing w:val="0"/>
          <w:w w:val="100"/>
          <w:position w:val="0"/>
          <w:shd w:val="clear" w:color="auto" w:fill="auto"/>
          <w:lang w:val="en-US" w:eastAsia="en-US" w:bidi="en-US"/>
        </w:rPr>
        <w:t>Past and Present.</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chronicle of Jocelyn of Brakeloud in vol.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Memorials of St Edmund's Abbey,</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T. Arnold (1890); and J. R. Green, </w:t>
      </w:r>
      <w:r>
        <w:rPr>
          <w:rFonts w:ascii="Times New Roman" w:eastAsia="Times New Roman" w:hAnsi="Times New Roman" w:cs="Times New Roman"/>
          <w:i/>
          <w:iCs/>
          <w:color w:val="000000"/>
          <w:spacing w:val="0"/>
          <w:w w:val="100"/>
          <w:position w:val="0"/>
          <w:shd w:val="clear" w:color="auto" w:fill="auto"/>
          <w:lang w:val="en-US" w:eastAsia="en-US" w:bidi="en-US"/>
        </w:rPr>
        <w:t>Stray Studies</w:t>
      </w:r>
      <w:r>
        <w:rPr>
          <w:rFonts w:ascii="Times New Roman" w:eastAsia="Times New Roman" w:hAnsi="Times New Roman" w:cs="Times New Roman"/>
          <w:color w:val="000000"/>
          <w:spacing w:val="0"/>
          <w:w w:val="100"/>
          <w:position w:val="0"/>
          <w:shd w:val="clear" w:color="auto" w:fill="auto"/>
          <w:lang w:val="en-US" w:eastAsia="en-US" w:bidi="en-US"/>
        </w:rPr>
        <w:t xml:space="preserve"> (1892).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SAMSON, JOSEPH ISIDORE </w:t>
      </w:r>
      <w:r>
        <w:rPr>
          <w:rFonts w:ascii="Times New Roman" w:eastAsia="Times New Roman" w:hAnsi="Times New Roman" w:cs="Times New Roman"/>
          <w:color w:val="000000"/>
          <w:spacing w:val="0"/>
          <w:w w:val="100"/>
          <w:position w:val="0"/>
          <w:shd w:val="clear" w:color="auto" w:fill="auto"/>
          <w:lang w:val="en-US" w:eastAsia="en-US" w:bidi="en-US"/>
        </w:rPr>
        <w:t xml:space="preserve">(1793-1871), French actor and playwright, was born at St Denis on the 2nd of July 1793, the son of a restaurant keeper. He took the first prize for comedy at the Conservatoire in 1812, married an actress with whom he toured France, and came to the </w:t>
      </w:r>
      <w:r>
        <w:rPr>
          <w:rFonts w:ascii="Times New Roman" w:eastAsia="Times New Roman" w:hAnsi="Times New Roman" w:cs="Times New Roman"/>
          <w:color w:val="000000"/>
          <w:spacing w:val="0"/>
          <w:w w:val="100"/>
          <w:position w:val="0"/>
          <w:shd w:val="clear" w:color="auto" w:fill="auto"/>
          <w:lang w:val="fr-FR" w:eastAsia="fr-FR" w:bidi="fr-FR"/>
        </w:rPr>
        <w:t xml:space="preserve">Comédie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in 1826. Here he remained until 1863, creating more than 250 parts. He became a professor at the Conservatoire in 1829, and under him Rachel, Rose </w:t>
      </w:r>
      <w:r>
        <w:rPr>
          <w:rFonts w:ascii="Times New Roman" w:eastAsia="Times New Roman" w:hAnsi="Times New Roman" w:cs="Times New Roman"/>
          <w:color w:val="000000"/>
          <w:spacing w:val="0"/>
          <w:w w:val="100"/>
          <w:position w:val="0"/>
          <w:shd w:val="clear" w:color="auto" w:fill="auto"/>
          <w:lang w:val="fr-FR" w:eastAsia="fr-FR" w:bidi="fr-FR"/>
        </w:rPr>
        <w:t xml:space="preserve">Chéri </w:t>
      </w:r>
      <w:r>
        <w:rPr>
          <w:rFonts w:ascii="Times New Roman" w:eastAsia="Times New Roman" w:hAnsi="Times New Roman" w:cs="Times New Roman"/>
          <w:color w:val="000000"/>
          <w:spacing w:val="0"/>
          <w:w w:val="100"/>
          <w:position w:val="0"/>
          <w:shd w:val="clear" w:color="auto" w:fill="auto"/>
          <w:lang w:val="en-US" w:eastAsia="en-US" w:bidi="en-US"/>
        </w:rPr>
        <w:t xml:space="preserve">(1824-1861), the Brohans and others were trained. He wrote several comedies, among them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Belle-Mère et le gendre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(1826),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La Famille poisson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(1846). Samson died </w:t>
      </w:r>
      <w:r>
        <w:rPr>
          <w:rFonts w:ascii="Times New Roman" w:eastAsia="Times New Roman" w:hAnsi="Times New Roman" w:cs="Times New Roman"/>
          <w:color w:val="000000"/>
          <w:spacing w:val="0"/>
          <w:w w:val="100"/>
          <w:position w:val="0"/>
          <w:shd w:val="clear" w:color="auto" w:fill="auto"/>
          <w:lang w:val="fr-FR" w:eastAsia="fr-FR" w:bidi="fr-FR"/>
        </w:rPr>
        <w:t xml:space="preserve">in Paris </w:t>
      </w:r>
      <w:r>
        <w:rPr>
          <w:rFonts w:ascii="Times New Roman" w:eastAsia="Times New Roman" w:hAnsi="Times New Roman" w:cs="Times New Roman"/>
          <w:color w:val="000000"/>
          <w:spacing w:val="0"/>
          <w:w w:val="100"/>
          <w:position w:val="0"/>
          <w:shd w:val="clear" w:color="auto" w:fill="auto"/>
          <w:lang w:val="en-US" w:eastAsia="en-US" w:bidi="en-US"/>
        </w:rPr>
        <w:t>on the 28th of March 1871.</w:t>
      </w:r>
    </w:p>
    <w:p>
      <w:pPr>
        <w:pStyle w:val="Style3"/>
        <w:keepNext w:val="0"/>
        <w:keepLines w:val="0"/>
        <w:widowControl w:val="0"/>
        <w:shd w:val="clear" w:color="auto" w:fill="auto"/>
        <w:tabs>
          <w:tab w:pos="406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SAMSUN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Amisus</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town of the Janik sanjak of the Trebizond vilayet of Asiatic Turkey, situated on the S. coast of the Black Sea between the deltas of the Kizil and Yeshil Irmaks. Pop. about 15,000, two-thirds Christian. It is con- nected by metalled roads with Sivas and Kaisarieh, and by sea with Constantinople. It is a thriving town, and the outlet for the trade of the Sivas vilayet. Steamers lie about 1 m. from the shore in an open roadstead, and in winter landing is sometimes impossible. Its district is one of the principal sources of Turkish tobacco, a whole variety of which is known as“ </w:t>
      </w:r>
      <w:r>
        <w:rPr>
          <w:rFonts w:ascii="Times New Roman" w:eastAsia="Times New Roman" w:hAnsi="Times New Roman" w:cs="Times New Roman"/>
          <w:color w:val="000000"/>
          <w:spacing w:val="0"/>
          <w:w w:val="100"/>
          <w:position w:val="0"/>
          <w:shd w:val="clear" w:color="auto" w:fill="auto"/>
          <w:lang w:val="de-DE" w:eastAsia="de-DE" w:bidi="de-DE"/>
        </w:rPr>
        <w:t xml:space="preserve">Samsun.” Samsun </w:t>
      </w:r>
      <w:r>
        <w:rPr>
          <w:rFonts w:ascii="Times New Roman" w:eastAsia="Times New Roman" w:hAnsi="Times New Roman" w:cs="Times New Roman"/>
          <w:color w:val="000000"/>
          <w:spacing w:val="0"/>
          <w:w w:val="100"/>
          <w:position w:val="0"/>
          <w:shd w:val="clear" w:color="auto" w:fill="auto"/>
          <w:lang w:val="en-US" w:eastAsia="en-US" w:bidi="en-US"/>
        </w:rPr>
        <w:t>exports cereals, tobacco and Wool. Both exports and imports are about stationary, the Angora railway having neutral</w:t>
        <w:softHyphen/>
        <w:t xml:space="preserve">ized any tendency to rise. Amisus, which stood on a promontory about 1½ m. N.W. of </w:t>
      </w:r>
      <w:r>
        <w:rPr>
          <w:rFonts w:ascii="Times New Roman" w:eastAsia="Times New Roman" w:hAnsi="Times New Roman" w:cs="Times New Roman"/>
          <w:color w:val="000000"/>
          <w:spacing w:val="0"/>
          <w:w w:val="100"/>
          <w:position w:val="0"/>
          <w:shd w:val="clear" w:color="auto" w:fill="auto"/>
          <w:lang w:val="de-DE" w:eastAsia="de-DE" w:bidi="de-DE"/>
        </w:rPr>
        <w:t xml:space="preserve">Samsun, </w:t>
      </w:r>
      <w:r>
        <w:rPr>
          <w:rFonts w:ascii="Times New Roman" w:eastAsia="Times New Roman" w:hAnsi="Times New Roman" w:cs="Times New Roman"/>
          <w:color w:val="000000"/>
          <w:spacing w:val="0"/>
          <w:w w:val="100"/>
          <w:position w:val="0"/>
          <w:shd w:val="clear" w:color="auto" w:fill="auto"/>
          <w:lang w:val="en-US" w:eastAsia="en-US" w:bidi="en-US"/>
        </w:rPr>
        <w:t xml:space="preserve">was, next to Sinope, the most flourishing of the Greek settlements on the Euxine, and under the kings of Pontus it was a rich trading town. By the 1st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it had displaced Sinope as the N. port of the great trade route from Central Asia, and later it was one of the chief towns of the Comneni of Trebizond. There are still a few remains of the Greek settlement.</w:t>
        <w:tab/>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G.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SAMUEL, </w:t>
      </w:r>
      <w:r>
        <w:rPr>
          <w:rFonts w:ascii="Times New Roman" w:eastAsia="Times New Roman" w:hAnsi="Times New Roman" w:cs="Times New Roman"/>
          <w:color w:val="000000"/>
          <w:spacing w:val="0"/>
          <w:w w:val="100"/>
          <w:position w:val="0"/>
          <w:shd w:val="clear" w:color="auto" w:fill="auto"/>
          <w:lang w:val="en-US" w:eastAsia="en-US" w:bidi="en-US"/>
        </w:rPr>
        <w:t>a prominent figure in Old Testament history, was born at Ramah and was dedicated to the service of Yahweh at the sanctuary of Shiloh where his youth was spent with Eli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Here he announced the impending fate of the priesthood and gained reputation throughout Israel as a prophet. Best known as “ king-maker,” two distinct accounts are preserved of his share in the institution of the monarchy.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one, the Philistines overthrow Israel at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near Aphek, Eli’s sons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are slain, and the ark is captured (1 Sam. iv.). After a period of oppression, Samuel suddenly reappears as a great religious leader of Israel, summons the people to return to Yahweh, and convenes a national assembly at Mizpah. The Philistines are defeated at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(near Mizpah) through the direct inter</w:t>
        <w:softHyphen/>
        <w:t xml:space="preserve">position of Yahweh, and Samuel rules peacefully as a theocratic judge (vii). But in his old age the elders demand a king, his sons are corrupt, a monarchy and a military leader are wanted (viii, 3, 5, 20). The request for a monarchy is a deliberate offence against Yahweh (viii. 7, cf. x. 19, xii. 12); nevertheless, an assembly is called, and the people are warned of the drawbacks of monarchical institutions (viii. 11-21; note the milder attitude in Deut. xvii. 14-20). At Mizpah, after another solemn warning, the sacred lot is taken and falls upon Saul of Benjamin, who, however, is not at first unanimously accepted (x. 17-27u). About a month later </w:t>
      </w:r>
      <w:r>
        <w:rPr>
          <w:rFonts w:ascii="Times New Roman" w:eastAsia="Times New Roman" w:hAnsi="Times New Roman" w:cs="Times New Roman"/>
          <w:color w:val="000000"/>
          <w:spacing w:val="0"/>
          <w:w w:val="100"/>
          <w:position w:val="0"/>
          <w:shd w:val="clear" w:color="auto" w:fill="auto"/>
          <w:lang w:val="fr-FR" w:eastAsia="fr-FR" w:bidi="fr-FR"/>
        </w:rPr>
        <w:t xml:space="preserve">(x. </w:t>
      </w:r>
      <w:r>
        <w:rPr>
          <w:rFonts w:ascii="Times New Roman" w:eastAsia="Times New Roman" w:hAnsi="Times New Roman" w:cs="Times New Roman"/>
          <w:color w:val="000000"/>
          <w:spacing w:val="0"/>
          <w:w w:val="100"/>
          <w:position w:val="0"/>
          <w:shd w:val="clear" w:color="auto" w:fill="auto"/>
          <w:lang w:val="en-US" w:eastAsia="en-US" w:bidi="en-US"/>
        </w:rPr>
        <w:t>27</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see Revised Version, margin), Saul—with Samuel (xi. 7)—leads an army of Israel and Judah to deliver Jabesh-Gilead from the Ammonites, and is now recognized as king. Samuel in a farewell address formally abdicates his office, reviews the past history, and, after convincing the people of the responsibility they had incurred in choosing a king, promises to remain always their intercessor (xii., cf. Jer. xv. 1). So, according to one view, Samuel’s death marks a vital change in the fortunes of Israel (xxv. 1, xxviii. 3, 6, 15). But, according to an earlier account, instead of a state of peace after the defeat of the Philistines (vii. 14) the people groan under their yoke, and the position of Israel moves Yahweh to pity. Samuel is a local seer consulted by Saul, and is bidden by Yahweh to see in the youth the future ruler. Saul is privately anointed and receives various signs as proof of his new destiny (ix. I-x. 16). Despite the straitened circumstances of Israel, an army is mustered, a sudden blow is struck at the Philistines, and, as before, supernatural assistance is at hand. The Hebrews who had fled across the Jordan (xiii. 7), or who had sought refuge in caverns (xiii. 6,</w:t>
      </w:r>
    </w:p>
    <w:p>
      <w:pPr>
        <w:pStyle w:val="Style3"/>
        <w:keepNext w:val="0"/>
        <w:keepLines w:val="0"/>
        <w:widowControl w:val="0"/>
        <w:shd w:val="clear" w:color="auto" w:fill="auto"/>
        <w:tabs>
          <w:tab w:pos="3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xiv.</w:t>
        <w:tab/>
        <w:t>11), or had joined the enemy (xiv. 21), rallied together and a decisive victory is obtained. That these two accounts are absolutely contradictory is now generally recognized by Biblical scholars, and it is to the former (and later) of them that the simple story of Samuel’s youth at Shiloh will belong. Next we find that Samuel’s interest on behalf of the Israelite king is transferred to David, the founder of the Judaean dynasty, and it is his part to announce the rejection of Saul and Yahweh’s new decision (xiii. 7</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-15</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xv. 10-35, xxviii. 17), to anoint the young David, and, as head of a small community of prophets, to protect him from the hostility of Saul (xvi. 1-13, xix. 18-24),</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these features in the life of Samuel reflect the varying traditions regarding a figure who, like Elijah and Elisha, held an important place in N. Israelite history. That he was an Ephrathite and lived at Ramah may only be clue to the incorporation of one cycle of specifically local tradition; the name of his grandfather Jeroham (or Jeraḥmeel so Septuagint) suggests a southern origin, and one may compare the relation between Saul and the Kenites (I Sam.</w:t>
      </w:r>
    </w:p>
    <w:p>
      <w:pPr>
        <w:pStyle w:val="Style7"/>
        <w:keepNext w:val="0"/>
        <w:keepLines w:val="0"/>
        <w:widowControl w:val="0"/>
        <w:shd w:val="clear" w:color="auto" w:fill="auto"/>
        <w:tabs>
          <w:tab w:pos="29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xv.</w:t>
        <w:tab/>
        <w:t>6) or Jehu and the Rechabites (2 Kings x. 15). But, although his great victory in I Sam. vii. may imply that he was properly a secular leader, comparable to Othniel, Gideon or Jephthah (see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 Sam. xii. 11, cf.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xi. 32), the idea of non-hereditary rulers over all Israel in the pre-monarchical age is a later theory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Judges). </w:t>
      </w:r>
      <w:r>
        <w:rPr>
          <w:rFonts w:ascii="Times New Roman" w:eastAsia="Times New Roman" w:hAnsi="Times New Roman" w:cs="Times New Roman"/>
          <w:color w:val="000000"/>
          <w:spacing w:val="0"/>
          <w:w w:val="100"/>
          <w:position w:val="0"/>
          <w:shd w:val="clear" w:color="auto" w:fill="auto"/>
          <w:lang w:val="en-US" w:eastAsia="en-US" w:bidi="en-US"/>
        </w:rPr>
        <w:t>However, so epoch-making an event as the institution of the monarchy naturally held a prominent place in later ideas and encouraged the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g</w:t>
      </w:r>
      <w:r>
        <w:rPr>
          <w:rFonts w:ascii="Times New Roman" w:eastAsia="Times New Roman" w:hAnsi="Times New Roman" w:cs="Times New Roman"/>
          <w:color w:val="000000"/>
          <w:spacing w:val="0"/>
          <w:w w:val="100"/>
          <w:position w:val="0"/>
          <w:sz w:val="28"/>
          <w:szCs w:val="28"/>
          <w:shd w:val="clear" w:color="auto" w:fill="auto"/>
          <w:lang w:val="en-US" w:eastAsia="en-US" w:bidi="en-US"/>
        </w:rPr>
        <w:t>rowth</w:t>
      </w:r>
      <w:r>
        <w:rPr>
          <w:rFonts w:ascii="Times New Roman" w:eastAsia="Times New Roman" w:hAnsi="Times New Roman" w:cs="Times New Roman"/>
          <w:color w:val="000000"/>
          <w:spacing w:val="0"/>
          <w:w w:val="100"/>
          <w:position w:val="0"/>
          <w:shd w:val="clear" w:color="auto" w:fill="auto"/>
          <w:lang w:val="en-US" w:eastAsia="en-US" w:bidi="en-US"/>
        </w:rPr>
        <w:t xml:space="preserve"> of tradition. The Saul who became the first king of N.</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must needs be indebted to the influence of the prophet (cf. Jehu in 2 Kings ix.). While the figure of Samuel grows in grandeur, the disastrous fate of Saul invited explanation, which is found in his previous acts of disobedience (1 Sam. xv., xxviii. 16-18; cf. Ahab,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Kings xx. 35-43). Further, while on the one side the institution of the monarchy is subsequently regarded as hostile to the pre</w:t>
        <w:softHyphen/>
        <w:t xml:space="preserve">eminence of Yahweh, Samuel’s connexion with the history of David belongs to a relatively late stage in the history of the written traditions where events are viewed from a specifically Judaean aspect. Samuel’s name ultimately becomes a by-word for the inauguration and observance of religious custom (see 1 Chron. ix. 22, xxvi. 28, 2 Chron. xxxv. 18, Ps. xcix. 6, Ecclus. xlvi.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sqq.). According to the late post-exilic genealogies he was of Levitical origin (1 Chron. vi. 28, 33). See further </w:t>
      </w:r>
      <w:r>
        <w:rPr>
          <w:rFonts w:ascii="Times New Roman" w:eastAsia="Times New Roman" w:hAnsi="Times New Roman" w:cs="Times New Roman"/>
          <w:smallCaps/>
          <w:color w:val="000000"/>
          <w:spacing w:val="0"/>
          <w:w w:val="100"/>
          <w:position w:val="0"/>
          <w:shd w:val="clear" w:color="auto" w:fill="auto"/>
          <w:lang w:val="en-US" w:eastAsia="en-US" w:bidi="en-US"/>
        </w:rPr>
        <w:t>David; Samuel, Books of; Saul.</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A.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SAMUEL OF NEHARDEA, usually called </w:t>
      </w:r>
      <w:r>
        <w:rPr>
          <w:rFonts w:ascii="Times New Roman" w:eastAsia="Times New Roman" w:hAnsi="Times New Roman" w:cs="Times New Roman"/>
          <w:smallCaps/>
          <w:color w:val="000000"/>
          <w:spacing w:val="0"/>
          <w:w w:val="100"/>
          <w:position w:val="0"/>
          <w:shd w:val="clear" w:color="auto" w:fill="auto"/>
          <w:lang w:val="en-US" w:eastAsia="en-US" w:bidi="en-US"/>
        </w:rPr>
        <w:t>Mar SamUel</w:t>
      </w:r>
      <w:r>
        <w:rPr>
          <w:rFonts w:ascii="Times New Roman" w:eastAsia="Times New Roman" w:hAnsi="Times New Roman" w:cs="Times New Roman"/>
          <w:color w:val="000000"/>
          <w:spacing w:val="0"/>
          <w:w w:val="100"/>
          <w:position w:val="0"/>
          <w:shd w:val="clear" w:color="auto" w:fill="auto"/>
          <w:lang w:val="en-US" w:eastAsia="en-US" w:bidi="en-US"/>
        </w:rPr>
        <w:t xml:space="preserve"> 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YarḤInai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165-</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257), Babylonian Rabbi, was born in Nahardea in Babylonia and died there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257. He is associated</w:t>
      </w:r>
    </w:p>
    <w:p>
      <w:pPr>
        <w:pStyle w:val="Style7"/>
        <w:keepNext w:val="0"/>
        <w:keepLines w:val="0"/>
        <w:widowControl w:val="0"/>
        <w:shd w:val="clear" w:color="auto" w:fill="auto"/>
        <w:bidi w:val="0"/>
        <w:ind w:left="0" w:firstLine="360"/>
        <w:jc w:val="left"/>
        <w:rPr>
          <w:sz w:val="13"/>
          <w:szCs w:val="13"/>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name Samuel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Shěmū'ēl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analogy of Penuel, Reuel seems to mean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manifestation) of El ” (God). Other interpretations are "posterity of God” or “his name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ě</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perhaps Yahweh’s) is God.” “ Heard of God,” based on 1 Sam. i. 20, is quite impossible and the interpretation of the passage is really only appropriate to Saul (“ the asked one ”): the two names are sometimes confused in the Septuagint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 4303, n. 3). Ramah is presumably er-Rām, 5 m. N. of Jerusalem (probably the Arimathaea of Matt xxvii. 57), or </w:t>
      </w:r>
      <w:r>
        <w:rPr>
          <w:rFonts w:ascii="Times New Roman" w:eastAsia="Times New Roman" w:hAnsi="Times New Roman" w:cs="Times New Roman"/>
          <w:color w:val="000000"/>
          <w:spacing w:val="0"/>
          <w:w w:val="100"/>
          <w:position w:val="0"/>
          <w:sz w:val="18"/>
          <w:szCs w:val="18"/>
          <w:shd w:val="clear" w:color="auto" w:fill="auto"/>
          <w:lang w:val="fr-FR" w:eastAsia="fr-FR" w:bidi="fr-FR"/>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Rima,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of Jiljilia (Gilgal), and N.W. of Beitīn,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Bethel (ef. the Ramathaim of I Macc. xi.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34).</w:t>
      </w:r>
    </w:p>
    <w:p>
      <w:pPr>
        <w:widowControl w:val="0"/>
        <w:spacing w:line="1" w:lineRule="exact"/>
      </w:pPr>
    </w:p>
    <w:sectPr>
      <w:footnotePr>
        <w:pos w:val="pageBottom"/>
        <w:numFmt w:val="decimal"/>
        <w:numRestart w:val="continuous"/>
      </w:footnotePr>
      <w:type w:val="continuous"/>
      <w:pgSz w:w="12240" w:h="15840"/>
      <w:pgMar w:top="972" w:left="934" w:right="975"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